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FF46E" w14:textId="55D90475" w:rsidR="00C360A6" w:rsidRDefault="00C360A6" w:rsidP="00D00BE5">
      <w:pPr>
        <w:pStyle w:val="Documenttitle"/>
        <w:rPr>
          <w:noProof/>
        </w:rPr>
      </w:pPr>
      <w:r w:rsidRPr="00C360A6">
        <w:t>Ageing well in Victoria</w:t>
      </w:r>
      <w:r w:rsidRPr="00C360A6">
        <w:rPr>
          <w:noProof/>
        </w:rPr>
        <w:t xml:space="preserve"> </w:t>
      </w:r>
      <w:r>
        <w:rPr>
          <w:noProof/>
        </w:rPr>
        <w:t>(accessible)</w:t>
      </w:r>
    </w:p>
    <w:p w14:paraId="30A0F284" w14:textId="77777777" w:rsidR="00C360A6" w:rsidRDefault="00C360A6" w:rsidP="00D00BE5">
      <w:pPr>
        <w:pStyle w:val="Documentsubtitle"/>
      </w:pPr>
      <w:r w:rsidRPr="00C360A6">
        <w:t>An action plan for strengthening wellbeing for senior Victorians 2022–2026</w:t>
      </w:r>
    </w:p>
    <w:p w14:paraId="3B4B7FED" w14:textId="4C851CA0" w:rsidR="00014F5C" w:rsidRDefault="00014F5C" w:rsidP="00073DB4">
      <w:pPr>
        <w:pStyle w:val="Body"/>
      </w:pPr>
      <w:r>
        <w:br w:type="page"/>
      </w:r>
    </w:p>
    <w:p w14:paraId="553C43A2" w14:textId="7098FBDC" w:rsidR="00D00BE5" w:rsidRDefault="00D00BE5" w:rsidP="00D00BE5">
      <w:pPr>
        <w:pStyle w:val="Accessibilitypara"/>
      </w:pPr>
      <w:bookmarkStart w:id="0" w:name="_Hlk96680608"/>
      <w:r w:rsidRPr="0055119B">
        <w:lastRenderedPageBreak/>
        <w:t xml:space="preserve">To receive this document in another format </w:t>
      </w:r>
      <w:hyperlink r:id="rId11" w:history="1">
        <w:r w:rsidRPr="00D00BE5">
          <w:rPr>
            <w:rStyle w:val="Hyperlink"/>
          </w:rPr>
          <w:t>email the Office for Senior Victorians</w:t>
        </w:r>
      </w:hyperlink>
      <w:r>
        <w:t xml:space="preserve"> &lt;</w:t>
      </w:r>
      <w:r w:rsidRPr="0067249C">
        <w:t>seniorsprojects@dffh.vic.gov.au</w:t>
      </w:r>
      <w:r>
        <w:t xml:space="preserve">&gt;. </w:t>
      </w:r>
    </w:p>
    <w:p w14:paraId="03FB7AFE" w14:textId="77777777" w:rsidR="00D00BE5" w:rsidRPr="0055119B" w:rsidRDefault="00D00BE5" w:rsidP="00D00BE5">
      <w:pPr>
        <w:pStyle w:val="Imprint"/>
      </w:pPr>
      <w:r w:rsidRPr="0055119B">
        <w:t>Authorised and published by the Victorian Government, 1 Treasury Place, Melbourne.</w:t>
      </w:r>
    </w:p>
    <w:p w14:paraId="61AA0D48" w14:textId="77777777" w:rsidR="00D00BE5" w:rsidRDefault="00D00BE5" w:rsidP="00D00BE5">
      <w:pPr>
        <w:pStyle w:val="Imprint"/>
      </w:pPr>
      <w:r w:rsidRPr="0055119B">
        <w:t xml:space="preserve">© State of Victoria, Australia, Department </w:t>
      </w:r>
      <w:r w:rsidRPr="001B058F">
        <w:t xml:space="preserve">of </w:t>
      </w:r>
      <w:r>
        <w:t>Families, Fairness and Housing</w:t>
      </w:r>
      <w:r w:rsidRPr="0055119B">
        <w:t xml:space="preserve">, </w:t>
      </w:r>
      <w:r>
        <w:t>June 2022</w:t>
      </w:r>
      <w:r w:rsidRPr="0055119B">
        <w:t>.</w:t>
      </w:r>
    </w:p>
    <w:p w14:paraId="53CC6709" w14:textId="77777777" w:rsidR="00D00BE5" w:rsidRPr="00300A4E" w:rsidRDefault="00D00BE5" w:rsidP="00D00BE5">
      <w:pPr>
        <w:pStyle w:val="Imprint"/>
        <w:rPr>
          <w:highlight w:val="yellow"/>
        </w:rPr>
      </w:pPr>
      <w:r w:rsidRPr="00300A4E">
        <w:rPr>
          <w:noProof/>
          <w:sz w:val="16"/>
          <w:szCs w:val="16"/>
          <w:highlight w:val="yellow"/>
          <w:lang w:eastAsia="zh-CN"/>
        </w:rPr>
        <w:drawing>
          <wp:inline distT="0" distB="0" distL="0" distR="0" wp14:anchorId="056A5629" wp14:editId="3D55B1B0">
            <wp:extent cx="1222375" cy="422275"/>
            <wp:effectExtent l="0" t="0" r="0" b="0"/>
            <wp:docPr id="1" name="Picture 4" descr="Creative commons 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Creative commons logo">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6399A2FA" w14:textId="48EBF9AA" w:rsidR="00D00BE5" w:rsidRPr="001A1D77" w:rsidRDefault="00D00BE5" w:rsidP="000E2FAF">
      <w:pPr>
        <w:pStyle w:val="Body"/>
      </w:pPr>
      <w:r>
        <w:t xml:space="preserve">With the exception of any images, photographs or branding (including, but not limited to the Victorian Coat of Arms, the Victorian Government logo or the Department of Families, Fairness and Housing logo), this work, </w:t>
      </w:r>
      <w:proofErr w:type="gramStart"/>
      <w:r w:rsidRPr="000E2FAF">
        <w:rPr>
          <w:b/>
          <w:bCs/>
          <w:iCs/>
        </w:rPr>
        <w:t>Ageing</w:t>
      </w:r>
      <w:proofErr w:type="gramEnd"/>
      <w:r w:rsidRPr="000E2FAF">
        <w:rPr>
          <w:b/>
          <w:bCs/>
          <w:iCs/>
        </w:rPr>
        <w:t xml:space="preserve"> well in Victoria: </w:t>
      </w:r>
      <w:r w:rsidR="00073DB4" w:rsidRPr="000E2FAF">
        <w:rPr>
          <w:b/>
          <w:bCs/>
          <w:iCs/>
        </w:rPr>
        <w:t>a</w:t>
      </w:r>
      <w:r w:rsidRPr="000E2FAF">
        <w:rPr>
          <w:b/>
          <w:bCs/>
          <w:iCs/>
        </w:rPr>
        <w:t>n action plan for strengthening wellbeing for senior Victorians</w:t>
      </w:r>
      <w:r w:rsidR="008A41EB" w:rsidRPr="000E2FAF">
        <w:rPr>
          <w:b/>
          <w:bCs/>
          <w:iCs/>
        </w:rPr>
        <w:t xml:space="preserve"> </w:t>
      </w:r>
      <w:r w:rsidRPr="000E2FAF">
        <w:rPr>
          <w:b/>
          <w:bCs/>
          <w:iCs/>
        </w:rPr>
        <w:t>2022–2026</w:t>
      </w:r>
      <w:r>
        <w:t>, is licensed under a Creative Commons Attribution 4.0 licence.</w:t>
      </w:r>
    </w:p>
    <w:p w14:paraId="180E4171" w14:textId="14DAE901" w:rsidR="00D00BE5" w:rsidRPr="001A1D77" w:rsidRDefault="00D00BE5" w:rsidP="000E2FAF">
      <w:pPr>
        <w:pStyle w:val="Body"/>
      </w:pPr>
      <w:r w:rsidRPr="001A1D77">
        <w:t xml:space="preserve">The terms and conditions of this licence, including disclaimer of warranties and limitation of liability are available at </w:t>
      </w:r>
      <w:hyperlink r:id="rId14" w:history="1">
        <w:r w:rsidRPr="000E2FAF">
          <w:t xml:space="preserve">Creative Commons Attribution 4.0 International Public License </w:t>
        </w:r>
      </w:hyperlink>
      <w:r w:rsidRPr="001A1D77">
        <w:t>&lt;https://creativecommons.org/licenses/by/4.0/&gt;</w:t>
      </w:r>
      <w:r>
        <w:t>.</w:t>
      </w:r>
    </w:p>
    <w:p w14:paraId="75F13FC0" w14:textId="77777777" w:rsidR="00D00BE5" w:rsidRDefault="00D00BE5" w:rsidP="000E2FAF">
      <w:pPr>
        <w:pStyle w:val="Body"/>
      </w:pPr>
      <w:r w:rsidRPr="001A1D77">
        <w:t>You are free to re-use the work under that licence, on the condition that you credit the State of Victoria, Australia (Department of Families, Fairness and Housing) as the author, indicate if any changes have been made to the work and comply with the other licence terms.</w:t>
      </w:r>
    </w:p>
    <w:p w14:paraId="4F2EB395" w14:textId="03ACD3B8" w:rsidR="003A17F3" w:rsidRDefault="009203A9" w:rsidP="00F0012D">
      <w:pPr>
        <w:pStyle w:val="Body"/>
      </w:pPr>
      <w:r>
        <w:t>In this document, ‘Aboriginal’ refers to both Aboriginal and Torres Strait Islander people. ‘Indigenous’ or ‘Koori/</w:t>
      </w:r>
      <w:proofErr w:type="spellStart"/>
      <w:r>
        <w:t>Koorie</w:t>
      </w:r>
      <w:proofErr w:type="spellEnd"/>
      <w:r>
        <w:t>’ is retained when part of the title of a report, program or quotation</w:t>
      </w:r>
    </w:p>
    <w:p w14:paraId="57B1C1B7" w14:textId="77777777" w:rsidR="00D00BE5" w:rsidRPr="00663D12" w:rsidRDefault="00D00BE5" w:rsidP="00D00BE5">
      <w:pPr>
        <w:pStyle w:val="Imprint"/>
      </w:pPr>
      <w:r w:rsidRPr="00663D12">
        <w:t>ISBN 978-1-76096-777-2 (</w:t>
      </w:r>
      <w:r>
        <w:t>p</w:t>
      </w:r>
      <w:r w:rsidRPr="00663D12">
        <w:t>rint)</w:t>
      </w:r>
    </w:p>
    <w:p w14:paraId="59616CE9" w14:textId="77777777" w:rsidR="00D00BE5" w:rsidRPr="00663D12" w:rsidRDefault="00D00BE5" w:rsidP="00D00BE5">
      <w:pPr>
        <w:pStyle w:val="Imprint"/>
      </w:pPr>
      <w:r w:rsidRPr="00663D12">
        <w:t>ISBN 978-1-76096-778-9 (online/PDF/Word)</w:t>
      </w:r>
    </w:p>
    <w:p w14:paraId="099C01E9" w14:textId="63DDAD27" w:rsidR="00D00BE5" w:rsidRDefault="00D00BE5" w:rsidP="00D00BE5">
      <w:pPr>
        <w:pStyle w:val="Imprint"/>
      </w:pPr>
      <w:r>
        <w:t xml:space="preserve">Available at the </w:t>
      </w:r>
      <w:hyperlink r:id="rId15" w:history="1">
        <w:r w:rsidR="00973711">
          <w:rPr>
            <w:rStyle w:val="Hyperlink"/>
          </w:rPr>
          <w:t>Seniors</w:t>
        </w:r>
      </w:hyperlink>
      <w:r w:rsidR="00973711">
        <w:rPr>
          <w:rStyle w:val="Hyperlink"/>
        </w:rPr>
        <w:t xml:space="preserve"> Online website</w:t>
      </w:r>
      <w:r>
        <w:t xml:space="preserve"> &lt;</w:t>
      </w:r>
      <w:r w:rsidRPr="00420990">
        <w:t>www.</w:t>
      </w:r>
      <w:r w:rsidR="00E66E4F">
        <w:t>seniorsonline</w:t>
      </w:r>
      <w:r w:rsidRPr="00420990">
        <w:t>.</w:t>
      </w:r>
      <w:r w:rsidR="00E66E4F">
        <w:t>vic.</w:t>
      </w:r>
      <w:r w:rsidRPr="00420990">
        <w:t>gov.au/ageing-well-action-plan</w:t>
      </w:r>
      <w:r>
        <w:t>&gt;</w:t>
      </w:r>
      <w:r w:rsidR="00A97A6C">
        <w:t>.</w:t>
      </w:r>
    </w:p>
    <w:p w14:paraId="41020443" w14:textId="38F7210F" w:rsidR="00D00BE5" w:rsidRPr="008E208F" w:rsidRDefault="00D00BE5" w:rsidP="00D00BE5">
      <w:pPr>
        <w:pStyle w:val="Imprint"/>
      </w:pPr>
      <w:r>
        <w:t>(2202185)</w:t>
      </w:r>
    </w:p>
    <w:bookmarkEnd w:id="0"/>
    <w:p w14:paraId="2D2503D2" w14:textId="68096846" w:rsidR="00373C87" w:rsidRPr="00C360A6" w:rsidRDefault="00373C87" w:rsidP="00B3744D">
      <w:pPr>
        <w:pStyle w:val="Body"/>
        <w:rPr>
          <w:rFonts w:eastAsia="MS Gothic" w:cs="Arial"/>
          <w:color w:val="201547"/>
          <w:kern w:val="32"/>
          <w:sz w:val="44"/>
          <w:szCs w:val="44"/>
        </w:rPr>
      </w:pPr>
      <w:r>
        <w:br w:type="page"/>
      </w:r>
    </w:p>
    <w:p w14:paraId="4028DB6E" w14:textId="79245A6B" w:rsidR="00AD784C" w:rsidRPr="00C360A6" w:rsidRDefault="00AD784C" w:rsidP="002365B4">
      <w:pPr>
        <w:pStyle w:val="TOCheadingreport"/>
      </w:pPr>
      <w:r w:rsidRPr="00C360A6">
        <w:lastRenderedPageBreak/>
        <w:t>Contents</w:t>
      </w:r>
    </w:p>
    <w:p w14:paraId="235AB788" w14:textId="59603CD4" w:rsidR="00B3744D" w:rsidRDefault="00AD784C">
      <w:pPr>
        <w:pStyle w:val="TOC1"/>
        <w:rPr>
          <w:rFonts w:asciiTheme="minorHAnsi" w:eastAsiaTheme="minorEastAsia" w:hAnsiTheme="minorHAnsi" w:cstheme="minorBidi"/>
          <w:b w:val="0"/>
          <w:sz w:val="22"/>
          <w:szCs w:val="22"/>
          <w:lang w:eastAsia="en-AU"/>
        </w:rPr>
      </w:pPr>
      <w:r w:rsidRPr="00C360A6">
        <w:fldChar w:fldCharType="begin"/>
      </w:r>
      <w:r w:rsidRPr="00C360A6">
        <w:instrText xml:space="preserve"> TOC \h \z \t "Heading 1,1,Heading 2,2" </w:instrText>
      </w:r>
      <w:r w:rsidRPr="00C360A6">
        <w:fldChar w:fldCharType="separate"/>
      </w:r>
      <w:hyperlink w:anchor="_Toc107246672" w:history="1">
        <w:r w:rsidR="00B3744D" w:rsidRPr="00892A10">
          <w:rPr>
            <w:rStyle w:val="Hyperlink"/>
          </w:rPr>
          <w:t>Acknowledgements</w:t>
        </w:r>
        <w:r w:rsidR="00B3744D">
          <w:rPr>
            <w:webHidden/>
          </w:rPr>
          <w:tab/>
        </w:r>
        <w:r w:rsidR="00B3744D">
          <w:rPr>
            <w:webHidden/>
          </w:rPr>
          <w:fldChar w:fldCharType="begin"/>
        </w:r>
        <w:r w:rsidR="00B3744D">
          <w:rPr>
            <w:webHidden/>
          </w:rPr>
          <w:instrText xml:space="preserve"> PAGEREF _Toc107246672 \h </w:instrText>
        </w:r>
        <w:r w:rsidR="00B3744D">
          <w:rPr>
            <w:webHidden/>
          </w:rPr>
        </w:r>
        <w:r w:rsidR="00B3744D">
          <w:rPr>
            <w:webHidden/>
          </w:rPr>
          <w:fldChar w:fldCharType="separate"/>
        </w:r>
        <w:r w:rsidR="00B3744D">
          <w:rPr>
            <w:webHidden/>
          </w:rPr>
          <w:t>4</w:t>
        </w:r>
        <w:r w:rsidR="00B3744D">
          <w:rPr>
            <w:webHidden/>
          </w:rPr>
          <w:fldChar w:fldCharType="end"/>
        </w:r>
      </w:hyperlink>
    </w:p>
    <w:p w14:paraId="6A3F9187" w14:textId="15FFED40" w:rsidR="00B3744D" w:rsidRDefault="00B3744D">
      <w:pPr>
        <w:pStyle w:val="TOC2"/>
        <w:rPr>
          <w:rFonts w:asciiTheme="minorHAnsi" w:eastAsiaTheme="minorEastAsia" w:hAnsiTheme="minorHAnsi" w:cstheme="minorBidi"/>
          <w:sz w:val="22"/>
          <w:szCs w:val="22"/>
          <w:lang w:eastAsia="en-AU"/>
        </w:rPr>
      </w:pPr>
      <w:hyperlink w:anchor="_Toc107246673" w:history="1">
        <w:r w:rsidRPr="00892A10">
          <w:rPr>
            <w:rStyle w:val="Hyperlink"/>
          </w:rPr>
          <w:t>Acknowledgement of Aboriginal Victoria</w:t>
        </w:r>
        <w:r>
          <w:rPr>
            <w:webHidden/>
          </w:rPr>
          <w:tab/>
        </w:r>
        <w:r>
          <w:rPr>
            <w:webHidden/>
          </w:rPr>
          <w:fldChar w:fldCharType="begin"/>
        </w:r>
        <w:r>
          <w:rPr>
            <w:webHidden/>
          </w:rPr>
          <w:instrText xml:space="preserve"> PAGEREF _Toc107246673 \h </w:instrText>
        </w:r>
        <w:r>
          <w:rPr>
            <w:webHidden/>
          </w:rPr>
        </w:r>
        <w:r>
          <w:rPr>
            <w:webHidden/>
          </w:rPr>
          <w:fldChar w:fldCharType="separate"/>
        </w:r>
        <w:r>
          <w:rPr>
            <w:webHidden/>
          </w:rPr>
          <w:t>4</w:t>
        </w:r>
        <w:r>
          <w:rPr>
            <w:webHidden/>
          </w:rPr>
          <w:fldChar w:fldCharType="end"/>
        </w:r>
      </w:hyperlink>
    </w:p>
    <w:p w14:paraId="23BEDFEE" w14:textId="4FE1FD4E" w:rsidR="00B3744D" w:rsidRDefault="00B3744D">
      <w:pPr>
        <w:pStyle w:val="TOC2"/>
        <w:rPr>
          <w:rFonts w:asciiTheme="minorHAnsi" w:eastAsiaTheme="minorEastAsia" w:hAnsiTheme="minorHAnsi" w:cstheme="minorBidi"/>
          <w:sz w:val="22"/>
          <w:szCs w:val="22"/>
          <w:lang w:eastAsia="en-AU"/>
        </w:rPr>
      </w:pPr>
      <w:hyperlink w:anchor="_Toc107246674" w:history="1">
        <w:r w:rsidRPr="00892A10">
          <w:rPr>
            <w:rStyle w:val="Hyperlink"/>
          </w:rPr>
          <w:t>Treaty with Traditional Owners and Aboriginal Victorians</w:t>
        </w:r>
        <w:r>
          <w:rPr>
            <w:webHidden/>
          </w:rPr>
          <w:tab/>
        </w:r>
        <w:r>
          <w:rPr>
            <w:webHidden/>
          </w:rPr>
          <w:fldChar w:fldCharType="begin"/>
        </w:r>
        <w:r>
          <w:rPr>
            <w:webHidden/>
          </w:rPr>
          <w:instrText xml:space="preserve"> PAGEREF _Toc107246674 \h </w:instrText>
        </w:r>
        <w:r>
          <w:rPr>
            <w:webHidden/>
          </w:rPr>
        </w:r>
        <w:r>
          <w:rPr>
            <w:webHidden/>
          </w:rPr>
          <w:fldChar w:fldCharType="separate"/>
        </w:r>
        <w:r>
          <w:rPr>
            <w:webHidden/>
          </w:rPr>
          <w:t>4</w:t>
        </w:r>
        <w:r>
          <w:rPr>
            <w:webHidden/>
          </w:rPr>
          <w:fldChar w:fldCharType="end"/>
        </w:r>
      </w:hyperlink>
    </w:p>
    <w:p w14:paraId="6CA178E9" w14:textId="6C8F818D" w:rsidR="00B3744D" w:rsidRDefault="00B3744D">
      <w:pPr>
        <w:pStyle w:val="TOC1"/>
        <w:rPr>
          <w:rFonts w:asciiTheme="minorHAnsi" w:eastAsiaTheme="minorEastAsia" w:hAnsiTheme="minorHAnsi" w:cstheme="minorBidi"/>
          <w:b w:val="0"/>
          <w:sz w:val="22"/>
          <w:szCs w:val="22"/>
          <w:lang w:eastAsia="en-AU"/>
        </w:rPr>
      </w:pPr>
      <w:hyperlink w:anchor="_Toc107246675" w:history="1">
        <w:r w:rsidRPr="00892A10">
          <w:rPr>
            <w:rStyle w:val="Hyperlink"/>
          </w:rPr>
          <w:t>Victoria’s seniors</w:t>
        </w:r>
        <w:r>
          <w:rPr>
            <w:webHidden/>
          </w:rPr>
          <w:tab/>
        </w:r>
        <w:r>
          <w:rPr>
            <w:webHidden/>
          </w:rPr>
          <w:fldChar w:fldCharType="begin"/>
        </w:r>
        <w:r>
          <w:rPr>
            <w:webHidden/>
          </w:rPr>
          <w:instrText xml:space="preserve"> PAGEREF _Toc107246675 \h </w:instrText>
        </w:r>
        <w:r>
          <w:rPr>
            <w:webHidden/>
          </w:rPr>
        </w:r>
        <w:r>
          <w:rPr>
            <w:webHidden/>
          </w:rPr>
          <w:fldChar w:fldCharType="separate"/>
        </w:r>
        <w:r>
          <w:rPr>
            <w:webHidden/>
          </w:rPr>
          <w:t>5</w:t>
        </w:r>
        <w:r>
          <w:rPr>
            <w:webHidden/>
          </w:rPr>
          <w:fldChar w:fldCharType="end"/>
        </w:r>
      </w:hyperlink>
    </w:p>
    <w:p w14:paraId="09A87F7B" w14:textId="7078A536" w:rsidR="00B3744D" w:rsidRDefault="00B3744D">
      <w:pPr>
        <w:pStyle w:val="TOC2"/>
        <w:rPr>
          <w:rFonts w:asciiTheme="minorHAnsi" w:eastAsiaTheme="minorEastAsia" w:hAnsiTheme="minorHAnsi" w:cstheme="minorBidi"/>
          <w:sz w:val="22"/>
          <w:szCs w:val="22"/>
          <w:lang w:eastAsia="en-AU"/>
        </w:rPr>
      </w:pPr>
      <w:hyperlink w:anchor="_Toc107246676" w:history="1">
        <w:r w:rsidRPr="00892A10">
          <w:rPr>
            <w:rStyle w:val="Hyperlink"/>
          </w:rPr>
          <w:t>Our vision</w:t>
        </w:r>
        <w:r>
          <w:rPr>
            <w:webHidden/>
          </w:rPr>
          <w:tab/>
        </w:r>
        <w:r>
          <w:rPr>
            <w:webHidden/>
          </w:rPr>
          <w:fldChar w:fldCharType="begin"/>
        </w:r>
        <w:r>
          <w:rPr>
            <w:webHidden/>
          </w:rPr>
          <w:instrText xml:space="preserve"> PAGEREF _Toc107246676 \h </w:instrText>
        </w:r>
        <w:r>
          <w:rPr>
            <w:webHidden/>
          </w:rPr>
        </w:r>
        <w:r>
          <w:rPr>
            <w:webHidden/>
          </w:rPr>
          <w:fldChar w:fldCharType="separate"/>
        </w:r>
        <w:r>
          <w:rPr>
            <w:webHidden/>
          </w:rPr>
          <w:t>6</w:t>
        </w:r>
        <w:r>
          <w:rPr>
            <w:webHidden/>
          </w:rPr>
          <w:fldChar w:fldCharType="end"/>
        </w:r>
      </w:hyperlink>
    </w:p>
    <w:p w14:paraId="202F367A" w14:textId="0C5A6E2E" w:rsidR="00B3744D" w:rsidRDefault="00B3744D">
      <w:pPr>
        <w:pStyle w:val="TOC2"/>
        <w:rPr>
          <w:rFonts w:asciiTheme="minorHAnsi" w:eastAsiaTheme="minorEastAsia" w:hAnsiTheme="minorHAnsi" w:cstheme="minorBidi"/>
          <w:sz w:val="22"/>
          <w:szCs w:val="22"/>
          <w:lang w:eastAsia="en-AU"/>
        </w:rPr>
      </w:pPr>
      <w:hyperlink w:anchor="_Toc107246677" w:history="1">
        <w:r w:rsidRPr="00892A10">
          <w:rPr>
            <w:rStyle w:val="Hyperlink"/>
          </w:rPr>
          <w:t>Ageing in place</w:t>
        </w:r>
        <w:r>
          <w:rPr>
            <w:webHidden/>
          </w:rPr>
          <w:tab/>
        </w:r>
        <w:r>
          <w:rPr>
            <w:webHidden/>
          </w:rPr>
          <w:fldChar w:fldCharType="begin"/>
        </w:r>
        <w:r>
          <w:rPr>
            <w:webHidden/>
          </w:rPr>
          <w:instrText xml:space="preserve"> PAGEREF _Toc107246677 \h </w:instrText>
        </w:r>
        <w:r>
          <w:rPr>
            <w:webHidden/>
          </w:rPr>
        </w:r>
        <w:r>
          <w:rPr>
            <w:webHidden/>
          </w:rPr>
          <w:fldChar w:fldCharType="separate"/>
        </w:r>
        <w:r>
          <w:rPr>
            <w:webHidden/>
          </w:rPr>
          <w:t>6</w:t>
        </w:r>
        <w:r>
          <w:rPr>
            <w:webHidden/>
          </w:rPr>
          <w:fldChar w:fldCharType="end"/>
        </w:r>
      </w:hyperlink>
    </w:p>
    <w:p w14:paraId="4E49A0EA" w14:textId="60074F7B" w:rsidR="00B3744D" w:rsidRDefault="00B3744D">
      <w:pPr>
        <w:pStyle w:val="TOC1"/>
        <w:rPr>
          <w:rFonts w:asciiTheme="minorHAnsi" w:eastAsiaTheme="minorEastAsia" w:hAnsiTheme="minorHAnsi" w:cstheme="minorBidi"/>
          <w:b w:val="0"/>
          <w:sz w:val="22"/>
          <w:szCs w:val="22"/>
          <w:lang w:eastAsia="en-AU"/>
        </w:rPr>
      </w:pPr>
      <w:hyperlink w:anchor="_Toc107246678" w:history="1">
        <w:r w:rsidRPr="00892A10">
          <w:rPr>
            <w:rStyle w:val="Hyperlink"/>
          </w:rPr>
          <w:t>Ageing well in Victoria</w:t>
        </w:r>
        <w:r>
          <w:rPr>
            <w:webHidden/>
          </w:rPr>
          <w:tab/>
        </w:r>
        <w:r>
          <w:rPr>
            <w:webHidden/>
          </w:rPr>
          <w:fldChar w:fldCharType="begin"/>
        </w:r>
        <w:r>
          <w:rPr>
            <w:webHidden/>
          </w:rPr>
          <w:instrText xml:space="preserve"> PAGEREF _Toc107246678 \h </w:instrText>
        </w:r>
        <w:r>
          <w:rPr>
            <w:webHidden/>
          </w:rPr>
        </w:r>
        <w:r>
          <w:rPr>
            <w:webHidden/>
          </w:rPr>
          <w:fldChar w:fldCharType="separate"/>
        </w:r>
        <w:r>
          <w:rPr>
            <w:webHidden/>
          </w:rPr>
          <w:t>7</w:t>
        </w:r>
        <w:r>
          <w:rPr>
            <w:webHidden/>
          </w:rPr>
          <w:fldChar w:fldCharType="end"/>
        </w:r>
      </w:hyperlink>
    </w:p>
    <w:p w14:paraId="79AF0C7E" w14:textId="59884F75" w:rsidR="00B3744D" w:rsidRDefault="00B3744D">
      <w:pPr>
        <w:pStyle w:val="TOC1"/>
        <w:rPr>
          <w:rFonts w:asciiTheme="minorHAnsi" w:eastAsiaTheme="minorEastAsia" w:hAnsiTheme="minorHAnsi" w:cstheme="minorBidi"/>
          <w:b w:val="0"/>
          <w:sz w:val="22"/>
          <w:szCs w:val="22"/>
          <w:lang w:eastAsia="en-AU"/>
        </w:rPr>
      </w:pPr>
      <w:hyperlink w:anchor="_Toc107246679" w:history="1">
        <w:r w:rsidRPr="00892A10">
          <w:rPr>
            <w:rStyle w:val="Hyperlink"/>
          </w:rPr>
          <w:t>Addressing the impacts of the COVID-19 pandemic</w:t>
        </w:r>
        <w:r>
          <w:rPr>
            <w:webHidden/>
          </w:rPr>
          <w:tab/>
        </w:r>
        <w:r>
          <w:rPr>
            <w:webHidden/>
          </w:rPr>
          <w:fldChar w:fldCharType="begin"/>
        </w:r>
        <w:r>
          <w:rPr>
            <w:webHidden/>
          </w:rPr>
          <w:instrText xml:space="preserve"> PAGEREF _Toc107246679 \h </w:instrText>
        </w:r>
        <w:r>
          <w:rPr>
            <w:webHidden/>
          </w:rPr>
        </w:r>
        <w:r>
          <w:rPr>
            <w:webHidden/>
          </w:rPr>
          <w:fldChar w:fldCharType="separate"/>
        </w:r>
        <w:r>
          <w:rPr>
            <w:webHidden/>
          </w:rPr>
          <w:t>10</w:t>
        </w:r>
        <w:r>
          <w:rPr>
            <w:webHidden/>
          </w:rPr>
          <w:fldChar w:fldCharType="end"/>
        </w:r>
      </w:hyperlink>
    </w:p>
    <w:p w14:paraId="4B7F35A9" w14:textId="59FCA0A0" w:rsidR="00B3744D" w:rsidRDefault="00B3744D">
      <w:pPr>
        <w:pStyle w:val="TOC1"/>
        <w:rPr>
          <w:rFonts w:asciiTheme="minorHAnsi" w:eastAsiaTheme="minorEastAsia" w:hAnsiTheme="minorHAnsi" w:cstheme="minorBidi"/>
          <w:b w:val="0"/>
          <w:sz w:val="22"/>
          <w:szCs w:val="22"/>
          <w:lang w:eastAsia="en-AU"/>
        </w:rPr>
      </w:pPr>
      <w:hyperlink w:anchor="_Toc107246680" w:history="1">
        <w:r w:rsidRPr="00892A10">
          <w:rPr>
            <w:rStyle w:val="Hyperlink"/>
          </w:rPr>
          <w:t>What government will do – Ageing well in Victoria action plan</w:t>
        </w:r>
        <w:r>
          <w:rPr>
            <w:webHidden/>
          </w:rPr>
          <w:tab/>
        </w:r>
        <w:r>
          <w:rPr>
            <w:webHidden/>
          </w:rPr>
          <w:fldChar w:fldCharType="begin"/>
        </w:r>
        <w:r>
          <w:rPr>
            <w:webHidden/>
          </w:rPr>
          <w:instrText xml:space="preserve"> PAGEREF _Toc107246680 \h </w:instrText>
        </w:r>
        <w:r>
          <w:rPr>
            <w:webHidden/>
          </w:rPr>
        </w:r>
        <w:r>
          <w:rPr>
            <w:webHidden/>
          </w:rPr>
          <w:fldChar w:fldCharType="separate"/>
        </w:r>
        <w:r>
          <w:rPr>
            <w:webHidden/>
          </w:rPr>
          <w:t>11</w:t>
        </w:r>
        <w:r>
          <w:rPr>
            <w:webHidden/>
          </w:rPr>
          <w:fldChar w:fldCharType="end"/>
        </w:r>
      </w:hyperlink>
    </w:p>
    <w:p w14:paraId="6A3A5FD8" w14:textId="7C99CBA5" w:rsidR="00B3744D" w:rsidRDefault="00B3744D">
      <w:pPr>
        <w:pStyle w:val="TOC2"/>
        <w:rPr>
          <w:rFonts w:asciiTheme="minorHAnsi" w:eastAsiaTheme="minorEastAsia" w:hAnsiTheme="minorHAnsi" w:cstheme="minorBidi"/>
          <w:sz w:val="22"/>
          <w:szCs w:val="22"/>
          <w:lang w:eastAsia="en-AU"/>
        </w:rPr>
      </w:pPr>
      <w:hyperlink w:anchor="_Toc107246681" w:history="1">
        <w:r w:rsidRPr="00892A10">
          <w:rPr>
            <w:rStyle w:val="Hyperlink"/>
          </w:rPr>
          <w:t>Action areas</w:t>
        </w:r>
        <w:r>
          <w:rPr>
            <w:webHidden/>
          </w:rPr>
          <w:tab/>
        </w:r>
        <w:r>
          <w:rPr>
            <w:webHidden/>
          </w:rPr>
          <w:fldChar w:fldCharType="begin"/>
        </w:r>
        <w:r>
          <w:rPr>
            <w:webHidden/>
          </w:rPr>
          <w:instrText xml:space="preserve"> PAGEREF _Toc107246681 \h </w:instrText>
        </w:r>
        <w:r>
          <w:rPr>
            <w:webHidden/>
          </w:rPr>
        </w:r>
        <w:r>
          <w:rPr>
            <w:webHidden/>
          </w:rPr>
          <w:fldChar w:fldCharType="separate"/>
        </w:r>
        <w:r>
          <w:rPr>
            <w:webHidden/>
          </w:rPr>
          <w:t>11</w:t>
        </w:r>
        <w:r>
          <w:rPr>
            <w:webHidden/>
          </w:rPr>
          <w:fldChar w:fldCharType="end"/>
        </w:r>
      </w:hyperlink>
    </w:p>
    <w:p w14:paraId="5C7BDE4C" w14:textId="63141404" w:rsidR="00B3744D" w:rsidRDefault="00B3744D">
      <w:pPr>
        <w:pStyle w:val="TOC2"/>
        <w:rPr>
          <w:rFonts w:asciiTheme="minorHAnsi" w:eastAsiaTheme="minorEastAsia" w:hAnsiTheme="minorHAnsi" w:cstheme="minorBidi"/>
          <w:sz w:val="22"/>
          <w:szCs w:val="22"/>
          <w:lang w:eastAsia="en-AU"/>
        </w:rPr>
      </w:pPr>
      <w:hyperlink w:anchor="_Toc107246682" w:history="1">
        <w:r w:rsidRPr="00892A10">
          <w:rPr>
            <w:rStyle w:val="Hyperlink"/>
          </w:rPr>
          <w:t>An ‘ageing well lens’</w:t>
        </w:r>
        <w:r>
          <w:rPr>
            <w:webHidden/>
          </w:rPr>
          <w:tab/>
        </w:r>
        <w:r>
          <w:rPr>
            <w:webHidden/>
          </w:rPr>
          <w:fldChar w:fldCharType="begin"/>
        </w:r>
        <w:r>
          <w:rPr>
            <w:webHidden/>
          </w:rPr>
          <w:instrText xml:space="preserve"> PAGEREF _Toc107246682 \h </w:instrText>
        </w:r>
        <w:r>
          <w:rPr>
            <w:webHidden/>
          </w:rPr>
        </w:r>
        <w:r>
          <w:rPr>
            <w:webHidden/>
          </w:rPr>
          <w:fldChar w:fldCharType="separate"/>
        </w:r>
        <w:r>
          <w:rPr>
            <w:webHidden/>
          </w:rPr>
          <w:t>11</w:t>
        </w:r>
        <w:r>
          <w:rPr>
            <w:webHidden/>
          </w:rPr>
          <w:fldChar w:fldCharType="end"/>
        </w:r>
      </w:hyperlink>
    </w:p>
    <w:p w14:paraId="170BFAFB" w14:textId="79D0902E" w:rsidR="00B3744D" w:rsidRDefault="00B3744D">
      <w:pPr>
        <w:pStyle w:val="TOC2"/>
        <w:rPr>
          <w:rFonts w:asciiTheme="minorHAnsi" w:eastAsiaTheme="minorEastAsia" w:hAnsiTheme="minorHAnsi" w:cstheme="minorBidi"/>
          <w:sz w:val="22"/>
          <w:szCs w:val="22"/>
          <w:lang w:eastAsia="en-AU"/>
        </w:rPr>
      </w:pPr>
      <w:hyperlink w:anchor="_Toc107246683" w:history="1">
        <w:r w:rsidRPr="00892A10">
          <w:rPr>
            <w:rStyle w:val="Hyperlink"/>
          </w:rPr>
          <w:t>Delivering in partnership and by listening</w:t>
        </w:r>
        <w:r>
          <w:rPr>
            <w:webHidden/>
          </w:rPr>
          <w:tab/>
        </w:r>
        <w:r>
          <w:rPr>
            <w:webHidden/>
          </w:rPr>
          <w:fldChar w:fldCharType="begin"/>
        </w:r>
        <w:r>
          <w:rPr>
            <w:webHidden/>
          </w:rPr>
          <w:instrText xml:space="preserve"> PAGEREF _Toc107246683 \h </w:instrText>
        </w:r>
        <w:r>
          <w:rPr>
            <w:webHidden/>
          </w:rPr>
        </w:r>
        <w:r>
          <w:rPr>
            <w:webHidden/>
          </w:rPr>
          <w:fldChar w:fldCharType="separate"/>
        </w:r>
        <w:r>
          <w:rPr>
            <w:webHidden/>
          </w:rPr>
          <w:t>12</w:t>
        </w:r>
        <w:r>
          <w:rPr>
            <w:webHidden/>
          </w:rPr>
          <w:fldChar w:fldCharType="end"/>
        </w:r>
      </w:hyperlink>
    </w:p>
    <w:p w14:paraId="41A81BD7" w14:textId="7216C06A" w:rsidR="00B3744D" w:rsidRDefault="00B3744D">
      <w:pPr>
        <w:pStyle w:val="TOC1"/>
        <w:rPr>
          <w:rFonts w:asciiTheme="minorHAnsi" w:eastAsiaTheme="minorEastAsia" w:hAnsiTheme="minorHAnsi" w:cstheme="minorBidi"/>
          <w:b w:val="0"/>
          <w:sz w:val="22"/>
          <w:szCs w:val="22"/>
          <w:lang w:eastAsia="en-AU"/>
        </w:rPr>
      </w:pPr>
      <w:hyperlink w:anchor="_Toc107246684" w:history="1">
        <w:r w:rsidRPr="00892A10">
          <w:rPr>
            <w:rStyle w:val="Hyperlink"/>
          </w:rPr>
          <w:t>Next steps</w:t>
        </w:r>
        <w:r>
          <w:rPr>
            <w:webHidden/>
          </w:rPr>
          <w:tab/>
        </w:r>
        <w:r>
          <w:rPr>
            <w:webHidden/>
          </w:rPr>
          <w:fldChar w:fldCharType="begin"/>
        </w:r>
        <w:r>
          <w:rPr>
            <w:webHidden/>
          </w:rPr>
          <w:instrText xml:space="preserve"> PAGEREF _Toc107246684 \h </w:instrText>
        </w:r>
        <w:r>
          <w:rPr>
            <w:webHidden/>
          </w:rPr>
        </w:r>
        <w:r>
          <w:rPr>
            <w:webHidden/>
          </w:rPr>
          <w:fldChar w:fldCharType="separate"/>
        </w:r>
        <w:r>
          <w:rPr>
            <w:webHidden/>
          </w:rPr>
          <w:t>24</w:t>
        </w:r>
        <w:r>
          <w:rPr>
            <w:webHidden/>
          </w:rPr>
          <w:fldChar w:fldCharType="end"/>
        </w:r>
      </w:hyperlink>
    </w:p>
    <w:p w14:paraId="56D509EB" w14:textId="6940EAD5" w:rsidR="00FB1F6E" w:rsidRPr="00C360A6" w:rsidRDefault="00AD784C" w:rsidP="0053739A">
      <w:pPr>
        <w:pStyle w:val="Body"/>
      </w:pPr>
      <w:r w:rsidRPr="00C360A6">
        <w:fldChar w:fldCharType="end"/>
      </w:r>
      <w:r w:rsidR="00FB1F6E" w:rsidRPr="00C360A6">
        <w:br w:type="page"/>
      </w:r>
    </w:p>
    <w:p w14:paraId="14EC1CB7" w14:textId="77777777" w:rsidR="00373C87" w:rsidRPr="00C360A6" w:rsidRDefault="00373C87" w:rsidP="00373C87">
      <w:pPr>
        <w:pStyle w:val="Heading1"/>
      </w:pPr>
      <w:bookmarkStart w:id="1" w:name="_Toc104995707"/>
      <w:bookmarkStart w:id="2" w:name="_Toc107246672"/>
      <w:r w:rsidRPr="00C360A6">
        <w:lastRenderedPageBreak/>
        <w:t>Acknowledgements</w:t>
      </w:r>
      <w:bookmarkEnd w:id="1"/>
      <w:bookmarkEnd w:id="2"/>
    </w:p>
    <w:p w14:paraId="411655C6" w14:textId="77777777" w:rsidR="00373C87" w:rsidRPr="00C360A6" w:rsidRDefault="00373C87" w:rsidP="00373C87">
      <w:pPr>
        <w:pStyle w:val="Heading2"/>
        <w:rPr>
          <w:sz w:val="28"/>
        </w:rPr>
      </w:pPr>
      <w:bookmarkStart w:id="3" w:name="_Toc104995708"/>
      <w:bookmarkStart w:id="4" w:name="_Toc107246673"/>
      <w:r w:rsidRPr="00C360A6">
        <w:rPr>
          <w:sz w:val="28"/>
        </w:rPr>
        <w:t>Acknowledgement of Aboriginal Victoria</w:t>
      </w:r>
      <w:bookmarkEnd w:id="3"/>
      <w:bookmarkEnd w:id="4"/>
    </w:p>
    <w:p w14:paraId="10E556BD" w14:textId="77777777" w:rsidR="00373C87" w:rsidRPr="00C360A6" w:rsidRDefault="00373C87" w:rsidP="00373C87">
      <w:pPr>
        <w:pStyle w:val="Body"/>
      </w:pPr>
      <w:r w:rsidRPr="00C360A6">
        <w:t>The Victorian Government proudly acknowledges Victorian Aboriginal people as the First Peoples and Traditional Owners and custodians of the land and waters on which we rely. We celebrate that Australia is rich in living Aboriginal culture, based on the values of reciprocity and respect for Elders and Country.</w:t>
      </w:r>
    </w:p>
    <w:p w14:paraId="493D40EA" w14:textId="77777777" w:rsidR="00373C87" w:rsidRPr="00C360A6" w:rsidRDefault="00373C87" w:rsidP="00373C87">
      <w:pPr>
        <w:pStyle w:val="Heading2"/>
        <w:rPr>
          <w:sz w:val="28"/>
        </w:rPr>
      </w:pPr>
      <w:bookmarkStart w:id="5" w:name="_Toc104995709"/>
      <w:bookmarkStart w:id="6" w:name="_Toc107246674"/>
      <w:r w:rsidRPr="00C360A6">
        <w:rPr>
          <w:sz w:val="28"/>
        </w:rPr>
        <w:t>Treaty with Traditional Owners and Aboriginal Victorians</w:t>
      </w:r>
      <w:bookmarkEnd w:id="5"/>
      <w:bookmarkEnd w:id="6"/>
    </w:p>
    <w:p w14:paraId="4DF029F2" w14:textId="77777777" w:rsidR="00373C87" w:rsidRPr="00C360A6" w:rsidRDefault="00373C87" w:rsidP="00373C87">
      <w:pPr>
        <w:pStyle w:val="Body"/>
      </w:pPr>
      <w:r w:rsidRPr="00C360A6">
        <w:t>In Victoria, through treaty, there will be an important shift in the relationship between the State and Traditional Owners and First Peoples. This shift</w:t>
      </w:r>
      <w:r w:rsidRPr="00C360A6" w:rsidDel="005E096D">
        <w:t xml:space="preserve"> </w:t>
      </w:r>
      <w:r w:rsidRPr="00C360A6">
        <w:t xml:space="preserve">may enable greater Aboriginal control over decision making. The Victorian Government commits to working proactively to support this work in line with the aspirations of the First Peoples’ Assembly of Victoria. </w:t>
      </w:r>
    </w:p>
    <w:p w14:paraId="11861A0F" w14:textId="77777777" w:rsidR="00373C87" w:rsidRPr="00C360A6" w:rsidRDefault="00373C87" w:rsidP="00373C87">
      <w:pPr>
        <w:pStyle w:val="Body"/>
      </w:pPr>
      <w:r w:rsidRPr="00D00BE5">
        <w:rPr>
          <w:b/>
          <w:bCs/>
        </w:rPr>
        <w:t>Ageing well in Victoria</w:t>
      </w:r>
      <w:r w:rsidRPr="00C360A6">
        <w:t xml:space="preserve"> will involve regular reviews. This is so the plan may evolve or be updated to align with the Victorian treaty process, including actions, activities and supporting governance arrangements.</w:t>
      </w:r>
    </w:p>
    <w:p w14:paraId="60A26F90" w14:textId="77777777" w:rsidR="00373C87" w:rsidRPr="00C360A6" w:rsidRDefault="00373C87" w:rsidP="00373C87">
      <w:pPr>
        <w:pStyle w:val="Body"/>
      </w:pPr>
      <w:r w:rsidRPr="00C360A6">
        <w:br w:type="page"/>
      </w:r>
    </w:p>
    <w:p w14:paraId="06C357D4" w14:textId="797B30EB" w:rsidR="009E6793" w:rsidRPr="00C360A6" w:rsidRDefault="009E6793" w:rsidP="008C5F97">
      <w:pPr>
        <w:pStyle w:val="Heading1"/>
      </w:pPr>
      <w:bookmarkStart w:id="7" w:name="_Toc104995711"/>
      <w:bookmarkStart w:id="8" w:name="_Toc107246675"/>
      <w:r w:rsidRPr="00C360A6">
        <w:lastRenderedPageBreak/>
        <w:t>Victoria’s seniors</w:t>
      </w:r>
      <w:bookmarkEnd w:id="7"/>
      <w:bookmarkEnd w:id="8"/>
    </w:p>
    <w:p w14:paraId="0F0D1F8F" w14:textId="2B5E1DD7" w:rsidR="009E6793" w:rsidRPr="00C360A6" w:rsidRDefault="009E6793" w:rsidP="0053739A">
      <w:pPr>
        <w:pStyle w:val="Body"/>
      </w:pPr>
      <w:r w:rsidRPr="00C360A6">
        <w:t>Victoria’s population is ageing</w:t>
      </w:r>
      <w:r w:rsidR="00443AFA" w:rsidRPr="00C360A6">
        <w:t>.</w:t>
      </w:r>
      <w:r w:rsidRPr="00C360A6">
        <w:rPr>
          <w:rStyle w:val="FootnoteReference"/>
        </w:rPr>
        <w:footnoteReference w:id="2"/>
      </w:r>
      <w:r w:rsidRPr="00C360A6">
        <w:t xml:space="preserve"> In 2021 there were almost 1.5 million Victorians aged 60 years </w:t>
      </w:r>
      <w:r w:rsidR="00C64813" w:rsidRPr="00C360A6">
        <w:t xml:space="preserve">or </w:t>
      </w:r>
      <w:r w:rsidRPr="00C360A6">
        <w:t xml:space="preserve">older. This represents 22 per cent of the total population. By 2046 that number </w:t>
      </w:r>
      <w:r w:rsidR="00AF2B9F">
        <w:t>is expected to</w:t>
      </w:r>
      <w:r w:rsidR="00AF2B9F" w:rsidRPr="00C360A6" w:rsidDel="00DC2BD8">
        <w:t xml:space="preserve"> </w:t>
      </w:r>
      <w:r w:rsidRPr="00C360A6">
        <w:t>increase by around 60 per</w:t>
      </w:r>
      <w:r w:rsidR="00C64813" w:rsidRPr="00C360A6">
        <w:t xml:space="preserve"> </w:t>
      </w:r>
      <w:r w:rsidRPr="00C360A6">
        <w:t xml:space="preserve">cent to </w:t>
      </w:r>
      <w:r w:rsidR="00C64813" w:rsidRPr="00C360A6">
        <w:t xml:space="preserve">more than </w:t>
      </w:r>
      <w:r w:rsidRPr="00C360A6">
        <w:t>2.3 million people. By that point</w:t>
      </w:r>
      <w:r w:rsidR="00C64813" w:rsidRPr="00C360A6">
        <w:t>, about</w:t>
      </w:r>
      <w:r w:rsidRPr="00C360A6">
        <w:t xml:space="preserve"> 25 per cent of the population will be 60 </w:t>
      </w:r>
      <w:r w:rsidR="0063779E" w:rsidRPr="00C360A6">
        <w:t xml:space="preserve">years of age </w:t>
      </w:r>
      <w:r w:rsidRPr="00C360A6">
        <w:t xml:space="preserve">or </w:t>
      </w:r>
      <w:r w:rsidR="00443AFA" w:rsidRPr="00C360A6">
        <w:t>older</w:t>
      </w:r>
      <w:r w:rsidRPr="00C360A6">
        <w:t>.</w:t>
      </w:r>
    </w:p>
    <w:p w14:paraId="058065A1" w14:textId="54AB9027" w:rsidR="009E6793" w:rsidRPr="00C360A6" w:rsidRDefault="009E6793" w:rsidP="0053739A">
      <w:pPr>
        <w:pStyle w:val="Body"/>
      </w:pPr>
      <w:r w:rsidRPr="00C360A6">
        <w:t xml:space="preserve">The older population </w:t>
      </w:r>
      <w:r w:rsidR="00C64813" w:rsidRPr="00C360A6">
        <w:t>will</w:t>
      </w:r>
      <w:r w:rsidRPr="00C360A6">
        <w:t xml:space="preserve"> </w:t>
      </w:r>
      <w:r w:rsidR="00C64813" w:rsidRPr="00C360A6">
        <w:t xml:space="preserve">increase </w:t>
      </w:r>
      <w:r w:rsidRPr="00C360A6">
        <w:t xml:space="preserve">more quickly than younger cohorts. </w:t>
      </w:r>
      <w:r w:rsidR="00C64813" w:rsidRPr="00C360A6">
        <w:t>Compared with</w:t>
      </w:r>
      <w:r w:rsidRPr="00C360A6">
        <w:t xml:space="preserve"> the 60 per cent increase in the older population over the next 25 years, the population aged 20 to 59 years </w:t>
      </w:r>
      <w:r w:rsidR="00D701A1">
        <w:t xml:space="preserve">is expected to </w:t>
      </w:r>
      <w:r w:rsidRPr="00C360A6">
        <w:t>grow by 40 per cent</w:t>
      </w:r>
      <w:r w:rsidR="00C64813" w:rsidRPr="00C360A6">
        <w:t>.</w:t>
      </w:r>
      <w:r w:rsidRPr="00C360A6">
        <w:t xml:space="preserve"> </w:t>
      </w:r>
      <w:r w:rsidR="00C64813" w:rsidRPr="00C360A6">
        <w:t xml:space="preserve">This younger cohort will </w:t>
      </w:r>
      <w:r w:rsidRPr="00C360A6">
        <w:t>remain at around 55 per cent of the total population throughout this period.</w:t>
      </w:r>
    </w:p>
    <w:p w14:paraId="29C77934" w14:textId="260D9C64" w:rsidR="009E6793" w:rsidRPr="00C360A6" w:rsidRDefault="009E6793" w:rsidP="0053739A">
      <w:pPr>
        <w:pStyle w:val="Body"/>
      </w:pPr>
      <w:r w:rsidRPr="00373C87">
        <w:t xml:space="preserve">The older population is not a </w:t>
      </w:r>
      <w:r w:rsidR="00E256E0" w:rsidRPr="00373C87">
        <w:t>uniform</w:t>
      </w:r>
      <w:r w:rsidRPr="00373C87">
        <w:t xml:space="preserve"> group. Each sub-group of the population has</w:t>
      </w:r>
      <w:r w:rsidRPr="00C360A6">
        <w:t xml:space="preserve"> different needs and is growing at a different rate. There are currently around 280,000 Victorians aged 80 </w:t>
      </w:r>
      <w:r w:rsidR="00E256E0" w:rsidRPr="00C360A6">
        <w:t>or older</w:t>
      </w:r>
      <w:r w:rsidRPr="00C360A6">
        <w:t xml:space="preserve">, which is 4.3 per cent of the population. This age group is growing even faster than the older </w:t>
      </w:r>
      <w:proofErr w:type="gramStart"/>
      <w:r w:rsidRPr="00C360A6">
        <w:t>population as a whole</w:t>
      </w:r>
      <w:proofErr w:type="gramEnd"/>
      <w:r w:rsidRPr="00C360A6">
        <w:t>. By 2046 it will have more than doubled in number and account for about 7 per cent of the total population. We can expect more frail and vulnerable older people living in their own homes for much longer</w:t>
      </w:r>
      <w:r w:rsidR="0063779E" w:rsidRPr="00C360A6">
        <w:t>. This</w:t>
      </w:r>
      <w:r w:rsidRPr="00C360A6">
        <w:t xml:space="preserve"> includ</w:t>
      </w:r>
      <w:r w:rsidR="0063779E" w:rsidRPr="00C360A6">
        <w:t>es</w:t>
      </w:r>
      <w:r w:rsidRPr="00C360A6">
        <w:t xml:space="preserve"> increasing numbers of those living with dementia.</w:t>
      </w:r>
    </w:p>
    <w:p w14:paraId="64817DB4" w14:textId="54C61A35" w:rsidR="009E6793" w:rsidRPr="00C360A6" w:rsidRDefault="009E6793" w:rsidP="0053739A">
      <w:pPr>
        <w:pStyle w:val="Body"/>
      </w:pPr>
      <w:r w:rsidRPr="00C360A6">
        <w:t>Among the older population there are more women than men, but the balance is changing. In 2021</w:t>
      </w:r>
      <w:r w:rsidR="00E256E0" w:rsidRPr="00C360A6">
        <w:t>,</w:t>
      </w:r>
      <w:r w:rsidRPr="00C360A6">
        <w:t xml:space="preserve"> 58 per cent of the 80+ population was female. As the gap between women’s and men’s life expectancy narrow</w:t>
      </w:r>
      <w:r w:rsidR="00E256E0" w:rsidRPr="00C360A6">
        <w:t>s</w:t>
      </w:r>
      <w:r w:rsidRPr="00C360A6">
        <w:t xml:space="preserve">, by 2046 the population aged 80 </w:t>
      </w:r>
      <w:r w:rsidR="00E256E0" w:rsidRPr="00C360A6">
        <w:t>or older</w:t>
      </w:r>
      <w:r w:rsidRPr="00C360A6">
        <w:t xml:space="preserve"> </w:t>
      </w:r>
      <w:r w:rsidR="00005D5E">
        <w:t>is expected to</w:t>
      </w:r>
      <w:r w:rsidR="00005D5E" w:rsidRPr="00C360A6">
        <w:t xml:space="preserve"> </w:t>
      </w:r>
      <w:r w:rsidRPr="00C360A6">
        <w:t xml:space="preserve">be </w:t>
      </w:r>
      <w:r w:rsidR="00E256E0" w:rsidRPr="00C360A6">
        <w:t xml:space="preserve">about </w:t>
      </w:r>
      <w:r w:rsidRPr="00C360A6">
        <w:t>56 per cent female and 44 per cent male.</w:t>
      </w:r>
    </w:p>
    <w:p w14:paraId="56C05CF9" w14:textId="22269532" w:rsidR="009E6793" w:rsidRPr="00C360A6" w:rsidRDefault="009E6793" w:rsidP="0053739A">
      <w:pPr>
        <w:pStyle w:val="Body"/>
      </w:pPr>
      <w:r w:rsidRPr="00C360A6">
        <w:t>The 2016 Census</w:t>
      </w:r>
      <w:r w:rsidRPr="00C360A6">
        <w:rPr>
          <w:rStyle w:val="FootnoteReference"/>
        </w:rPr>
        <w:footnoteReference w:id="3"/>
      </w:r>
      <w:r w:rsidRPr="00C360A6">
        <w:t xml:space="preserve"> shows that 27 per cent of Victorians aged 60 </w:t>
      </w:r>
      <w:r w:rsidR="00E256E0" w:rsidRPr="00C360A6">
        <w:t>or older</w:t>
      </w:r>
      <w:r w:rsidRPr="00C360A6">
        <w:t xml:space="preserve"> are from non</w:t>
      </w:r>
      <w:r w:rsidR="00E256E0" w:rsidRPr="00C360A6">
        <w:t>–</w:t>
      </w:r>
      <w:r w:rsidRPr="00C360A6">
        <w:t>English speaking backgrounds</w:t>
      </w:r>
      <w:r w:rsidR="0063779E" w:rsidRPr="00C360A6">
        <w:t>. This</w:t>
      </w:r>
      <w:r w:rsidRPr="00C360A6">
        <w:t xml:space="preserve"> compare</w:t>
      </w:r>
      <w:r w:rsidR="0063779E" w:rsidRPr="00C360A6">
        <w:t>s</w:t>
      </w:r>
      <w:r w:rsidRPr="00C360A6">
        <w:t xml:space="preserve"> </w:t>
      </w:r>
      <w:r w:rsidR="00E256E0" w:rsidRPr="00C360A6">
        <w:t>with</w:t>
      </w:r>
      <w:r w:rsidRPr="00C360A6">
        <w:t xml:space="preserve"> 21 per cent for Victorians under 60 years of age. Greater Melbourne has the highest proportion of senior Victorians from non</w:t>
      </w:r>
      <w:r w:rsidR="00E256E0" w:rsidRPr="00C360A6">
        <w:t>–</w:t>
      </w:r>
      <w:r w:rsidRPr="00C360A6">
        <w:t>English speaking backgrounds (35 per cent of people aged 60</w:t>
      </w:r>
      <w:r w:rsidR="00E256E0" w:rsidRPr="00C360A6">
        <w:t>+</w:t>
      </w:r>
      <w:r w:rsidRPr="00C360A6">
        <w:t>). Geelong (14 per cent), Latrobe</w:t>
      </w:r>
      <w:r w:rsidR="00443AFA" w:rsidRPr="00C360A6">
        <w:t>–</w:t>
      </w:r>
      <w:r w:rsidRPr="00C360A6">
        <w:t xml:space="preserve">Gippsland (10 per cent), Shepparton and Hume (8 per cent respectively) also have </w:t>
      </w:r>
      <w:r w:rsidR="00214B3C" w:rsidRPr="00C360A6">
        <w:t xml:space="preserve">large rates </w:t>
      </w:r>
      <w:r w:rsidRPr="00C360A6">
        <w:t>of older people from non</w:t>
      </w:r>
      <w:r w:rsidR="00443AFA" w:rsidRPr="00C360A6">
        <w:t>–</w:t>
      </w:r>
      <w:r w:rsidRPr="00C360A6">
        <w:t xml:space="preserve">English speaking backgrounds </w:t>
      </w:r>
      <w:r w:rsidR="00E256E0" w:rsidRPr="00C360A6">
        <w:t>living locally</w:t>
      </w:r>
      <w:r w:rsidRPr="00C360A6">
        <w:t>.</w:t>
      </w:r>
    </w:p>
    <w:p w14:paraId="2CBB9C97" w14:textId="4EE84EA0" w:rsidR="009E6793" w:rsidRPr="00C360A6" w:rsidRDefault="009E6793" w:rsidP="0053739A">
      <w:pPr>
        <w:pStyle w:val="Body"/>
      </w:pPr>
      <w:r w:rsidRPr="00C360A6">
        <w:t xml:space="preserve">The </w:t>
      </w:r>
      <w:r w:rsidR="00214B3C" w:rsidRPr="00C360A6">
        <w:t xml:space="preserve">number </w:t>
      </w:r>
      <w:r w:rsidRPr="00C360A6">
        <w:t xml:space="preserve">of people aged 60 </w:t>
      </w:r>
      <w:r w:rsidR="00214B3C" w:rsidRPr="00C360A6">
        <w:t xml:space="preserve">or older </w:t>
      </w:r>
      <w:r w:rsidRPr="00C360A6">
        <w:t xml:space="preserve">is higher in rural and regional Victoria (26 per cent in 2016) than in Greater Melbourne (18 per cent). This difference </w:t>
      </w:r>
      <w:r w:rsidR="00005D5E">
        <w:t>is expected to</w:t>
      </w:r>
      <w:r w:rsidR="00005D5E" w:rsidRPr="00C360A6">
        <w:t xml:space="preserve"> </w:t>
      </w:r>
      <w:r w:rsidRPr="00C360A6">
        <w:t xml:space="preserve">continue over the long term. Rapid and uneven growth for older people in regional areas has </w:t>
      </w:r>
      <w:r w:rsidR="00214B3C" w:rsidRPr="00C360A6">
        <w:t>knock-on effects</w:t>
      </w:r>
      <w:r w:rsidRPr="00C360A6">
        <w:t xml:space="preserve"> for services and communities</w:t>
      </w:r>
      <w:r w:rsidR="00214B3C" w:rsidRPr="00C360A6">
        <w:t>. This is</w:t>
      </w:r>
      <w:r w:rsidRPr="00C360A6">
        <w:t xml:space="preserve"> especially </w:t>
      </w:r>
      <w:r w:rsidR="00214B3C" w:rsidRPr="00C360A6">
        <w:t xml:space="preserve">true </w:t>
      </w:r>
      <w:r w:rsidRPr="00C360A6">
        <w:t xml:space="preserve">for local government areas where a large share of </w:t>
      </w:r>
      <w:r w:rsidR="00214B3C" w:rsidRPr="00C360A6">
        <w:t xml:space="preserve">the </w:t>
      </w:r>
      <w:r w:rsidRPr="00C360A6">
        <w:t xml:space="preserve">population is getting close to retirement age. In the Borough of </w:t>
      </w:r>
      <w:proofErr w:type="spellStart"/>
      <w:r w:rsidRPr="00C360A6">
        <w:t>Queenscliffe</w:t>
      </w:r>
      <w:proofErr w:type="spellEnd"/>
      <w:r w:rsidRPr="00C360A6">
        <w:t xml:space="preserve">, for example, half of the population is older than 60 years and </w:t>
      </w:r>
      <w:r w:rsidR="00214B3C" w:rsidRPr="00C360A6">
        <w:t>nine</w:t>
      </w:r>
      <w:r w:rsidRPr="00C360A6">
        <w:t xml:space="preserve"> months (median age equal to 60.8)</w:t>
      </w:r>
      <w:r w:rsidR="00214B3C" w:rsidRPr="00C360A6">
        <w:t>.</w:t>
      </w:r>
      <w:r w:rsidRPr="00C360A6">
        <w:t xml:space="preserve"> </w:t>
      </w:r>
      <w:r w:rsidR="00214B3C" w:rsidRPr="00C360A6">
        <w:t>I</w:t>
      </w:r>
      <w:r w:rsidRPr="00C360A6">
        <w:t xml:space="preserve">n the Shire of </w:t>
      </w:r>
      <w:proofErr w:type="gramStart"/>
      <w:r w:rsidRPr="00C360A6">
        <w:t>Loddon</w:t>
      </w:r>
      <w:proofErr w:type="gramEnd"/>
      <w:r w:rsidRPr="00C360A6">
        <w:t xml:space="preserve"> the median age is 54.</w:t>
      </w:r>
    </w:p>
    <w:p w14:paraId="3473286B" w14:textId="4D80C908" w:rsidR="009E6793" w:rsidRPr="00C360A6" w:rsidRDefault="009E6793" w:rsidP="0053739A">
      <w:pPr>
        <w:pStyle w:val="Body"/>
      </w:pPr>
      <w:r w:rsidRPr="00C360A6">
        <w:lastRenderedPageBreak/>
        <w:t xml:space="preserve">The number of older people in private </w:t>
      </w:r>
      <w:r w:rsidR="003C0CE3" w:rsidRPr="00C360A6">
        <w:t xml:space="preserve">homes </w:t>
      </w:r>
      <w:r w:rsidRPr="00C360A6">
        <w:t>is likely to grow as the population ages</w:t>
      </w:r>
      <w:r w:rsidR="003C0CE3" w:rsidRPr="00C360A6">
        <w:t>.</w:t>
      </w:r>
      <w:r w:rsidRPr="00C360A6">
        <w:t xml:space="preserve"> </w:t>
      </w:r>
      <w:r w:rsidR="003C0CE3" w:rsidRPr="00C360A6">
        <w:t>M</w:t>
      </w:r>
      <w:r w:rsidRPr="00C360A6">
        <w:t>ore older people are living longer in their own homes. About half the people living alone are over the age of 60</w:t>
      </w:r>
      <w:r w:rsidR="003C0CE3" w:rsidRPr="00C360A6">
        <w:t>.</w:t>
      </w:r>
      <w:r w:rsidRPr="00C360A6">
        <w:t xml:space="preserve"> </w:t>
      </w:r>
      <w:r w:rsidR="003C0CE3" w:rsidRPr="00C360A6">
        <w:t>T</w:t>
      </w:r>
      <w:r w:rsidRPr="00C360A6">
        <w:t xml:space="preserve">his </w:t>
      </w:r>
      <w:r w:rsidR="003C0CE3" w:rsidRPr="00C360A6">
        <w:t xml:space="preserve">number </w:t>
      </w:r>
      <w:r w:rsidR="0063779E" w:rsidRPr="00C360A6">
        <w:t>will</w:t>
      </w:r>
      <w:r w:rsidRPr="00C360A6">
        <w:t xml:space="preserve"> increase over time. As they tend to live longer than men, women represent almost two</w:t>
      </w:r>
      <w:r w:rsidR="00443AFA" w:rsidRPr="00C360A6">
        <w:t>-</w:t>
      </w:r>
      <w:r w:rsidRPr="00C360A6">
        <w:t>thirds of the people over 60 who live alone.</w:t>
      </w:r>
    </w:p>
    <w:p w14:paraId="40E2695D" w14:textId="0E27318B" w:rsidR="009E6793" w:rsidRPr="00C360A6" w:rsidRDefault="009E6793" w:rsidP="0053739A">
      <w:pPr>
        <w:pStyle w:val="Body"/>
      </w:pPr>
      <w:r w:rsidRPr="00C360A6">
        <w:t xml:space="preserve">The </w:t>
      </w:r>
      <w:r w:rsidR="00443AFA" w:rsidRPr="00C360A6">
        <w:t>a</w:t>
      </w:r>
      <w:r w:rsidRPr="00C360A6">
        <w:t xml:space="preserve">ction </w:t>
      </w:r>
      <w:r w:rsidR="00443AFA" w:rsidRPr="00C360A6">
        <w:t>p</w:t>
      </w:r>
      <w:r w:rsidRPr="00C360A6">
        <w:t xml:space="preserve">lan recognises the influence of </w:t>
      </w:r>
      <w:r w:rsidR="003C0CE3" w:rsidRPr="00C360A6">
        <w:t xml:space="preserve">the </w:t>
      </w:r>
      <w:r w:rsidRPr="00C360A6">
        <w:t xml:space="preserve">social determinants on health and people’s experience of ageing. Many senior Victorians identify with attributes and </w:t>
      </w:r>
      <w:r w:rsidR="003C0CE3" w:rsidRPr="00C360A6">
        <w:t xml:space="preserve">traits </w:t>
      </w:r>
      <w:r w:rsidRPr="00C360A6">
        <w:t xml:space="preserve">that can combine to create overlapping systems of disadvantage, </w:t>
      </w:r>
      <w:proofErr w:type="gramStart"/>
      <w:r w:rsidRPr="00C360A6">
        <w:t>discrimination</w:t>
      </w:r>
      <w:proofErr w:type="gramEnd"/>
      <w:r w:rsidRPr="00C360A6">
        <w:t xml:space="preserve"> and barriers to ageing well. Th</w:t>
      </w:r>
      <w:r w:rsidR="003C0CE3" w:rsidRPr="00C360A6">
        <w:t>is</w:t>
      </w:r>
      <w:r w:rsidRPr="00C360A6">
        <w:t xml:space="preserve"> </w:t>
      </w:r>
      <w:r w:rsidR="00443AFA" w:rsidRPr="00C360A6">
        <w:t>a</w:t>
      </w:r>
      <w:r w:rsidRPr="00C360A6">
        <w:t xml:space="preserve">ction </w:t>
      </w:r>
      <w:r w:rsidR="00443AFA" w:rsidRPr="00C360A6">
        <w:t>p</w:t>
      </w:r>
      <w:r w:rsidRPr="00C360A6">
        <w:t>lan adopts an intersectional approach</w:t>
      </w:r>
      <w:r w:rsidR="003C0CE3" w:rsidRPr="00C360A6">
        <w:t>,</w:t>
      </w:r>
      <w:r w:rsidRPr="00C360A6">
        <w:t xml:space="preserve"> with </w:t>
      </w:r>
      <w:proofErr w:type="gramStart"/>
      <w:r w:rsidRPr="00C360A6">
        <w:t>particular regard</w:t>
      </w:r>
      <w:proofErr w:type="gramEnd"/>
      <w:r w:rsidRPr="00C360A6">
        <w:t xml:space="preserve"> for older Aboriginal Victorians. </w:t>
      </w:r>
    </w:p>
    <w:p w14:paraId="48F0DC1E" w14:textId="4601FDF0" w:rsidR="009E6793" w:rsidRPr="00C360A6" w:rsidRDefault="0063779E" w:rsidP="0053739A">
      <w:pPr>
        <w:pStyle w:val="Body"/>
      </w:pPr>
      <w:r w:rsidRPr="00C360A6">
        <w:t xml:space="preserve">We developed </w:t>
      </w:r>
      <w:r w:rsidR="009E6793" w:rsidRPr="00C360A6">
        <w:t xml:space="preserve">Victoria’s </w:t>
      </w:r>
      <w:r w:rsidR="009E6793" w:rsidRPr="00D00BE5">
        <w:rPr>
          <w:b/>
          <w:bCs/>
        </w:rPr>
        <w:t>Closing the Gap</w:t>
      </w:r>
      <w:r w:rsidR="009E6793" w:rsidRPr="00C360A6">
        <w:t xml:space="preserve"> implementation plan in partnership with the Aboriginal </w:t>
      </w:r>
      <w:r w:rsidR="00443AFA" w:rsidRPr="00C360A6">
        <w:t>c</w:t>
      </w:r>
      <w:r w:rsidR="009E6793" w:rsidRPr="00C360A6">
        <w:t>ommunity</w:t>
      </w:r>
      <w:r w:rsidR="00443AFA" w:rsidRPr="00C360A6">
        <w:t>-c</w:t>
      </w:r>
      <w:r w:rsidR="009E6793" w:rsidRPr="00C360A6">
        <w:t xml:space="preserve">ontrolled </w:t>
      </w:r>
      <w:r w:rsidR="00443AFA" w:rsidRPr="00C360A6">
        <w:t>o</w:t>
      </w:r>
      <w:r w:rsidR="009E6793" w:rsidRPr="00C360A6">
        <w:t>rganisation sector</w:t>
      </w:r>
      <w:r w:rsidR="005F4C5D" w:rsidRPr="00C360A6">
        <w:t xml:space="preserve">, </w:t>
      </w:r>
      <w:r w:rsidR="00DC7E83" w:rsidRPr="00C360A6">
        <w:t>using</w:t>
      </w:r>
      <w:r w:rsidR="009E6793" w:rsidRPr="00C360A6">
        <w:t xml:space="preserve"> shared governance structures. Under the plan the </w:t>
      </w:r>
      <w:r w:rsidR="005F4C5D" w:rsidRPr="00C360A6">
        <w:t>g</w:t>
      </w:r>
      <w:r w:rsidR="009E6793" w:rsidRPr="00C360A6">
        <w:t>overnment is working to identify and embed initiatives that enable Aboriginal Elders to live longer</w:t>
      </w:r>
      <w:r w:rsidR="005F4C5D" w:rsidRPr="00C360A6">
        <w:t>,</w:t>
      </w:r>
      <w:r w:rsidR="009E6793" w:rsidRPr="00C360A6">
        <w:t xml:space="preserve"> </w:t>
      </w:r>
      <w:proofErr w:type="gramStart"/>
      <w:r w:rsidR="009E6793" w:rsidRPr="00C360A6">
        <w:t>healthier</w:t>
      </w:r>
      <w:proofErr w:type="gramEnd"/>
      <w:r w:rsidR="009E6793" w:rsidRPr="00C360A6">
        <w:t xml:space="preserve"> and active lives</w:t>
      </w:r>
      <w:r w:rsidR="005F4C5D" w:rsidRPr="00C360A6">
        <w:t>. It highlights</w:t>
      </w:r>
      <w:r w:rsidR="009E6793" w:rsidRPr="00C360A6">
        <w:t xml:space="preserve"> community engagement and connection in </w:t>
      </w:r>
      <w:r w:rsidR="005F4C5D" w:rsidRPr="00C360A6">
        <w:t xml:space="preserve">line </w:t>
      </w:r>
      <w:r w:rsidR="009E6793" w:rsidRPr="00C360A6">
        <w:t xml:space="preserve">with cultural protocols. This will be through embedding mandatory consideration of the needs and rights of Elders in all aspects of Victoria’s implementation plan, including in each sector strengthening plan. </w:t>
      </w:r>
      <w:r w:rsidR="005F4C5D" w:rsidRPr="00C360A6">
        <w:t xml:space="preserve">We will also </w:t>
      </w:r>
      <w:proofErr w:type="gramStart"/>
      <w:r w:rsidR="005F4C5D" w:rsidRPr="00C360A6">
        <w:t>give e</w:t>
      </w:r>
      <w:r w:rsidR="009E6793" w:rsidRPr="00C360A6">
        <w:t>arly consideration to</w:t>
      </w:r>
      <w:proofErr w:type="gramEnd"/>
      <w:r w:rsidR="009E6793" w:rsidRPr="00C360A6">
        <w:t xml:space="preserve"> standalone policy for Aboriginal Elders.</w:t>
      </w:r>
    </w:p>
    <w:p w14:paraId="5B3941BD" w14:textId="0D61F574" w:rsidR="009E6793" w:rsidRPr="00C360A6" w:rsidDel="00C1286E" w:rsidRDefault="009E6793" w:rsidP="0053739A">
      <w:pPr>
        <w:pStyle w:val="Body"/>
      </w:pPr>
      <w:r w:rsidRPr="00C360A6">
        <w:t xml:space="preserve">The </w:t>
      </w:r>
      <w:r w:rsidR="00443AFA" w:rsidRPr="00C360A6">
        <w:t>a</w:t>
      </w:r>
      <w:r w:rsidRPr="00C360A6">
        <w:t xml:space="preserve">ction </w:t>
      </w:r>
      <w:r w:rsidR="00443AFA" w:rsidRPr="00C360A6">
        <w:t>p</w:t>
      </w:r>
      <w:r w:rsidRPr="00C360A6">
        <w:t xml:space="preserve">lan recognises </w:t>
      </w:r>
      <w:r w:rsidR="005F4C5D" w:rsidRPr="00C360A6">
        <w:t xml:space="preserve">that </w:t>
      </w:r>
      <w:r w:rsidRPr="00C360A6">
        <w:t xml:space="preserve">senior Victorians from migrant and refugee backgrounds can face </w:t>
      </w:r>
      <w:r w:rsidR="00570518" w:rsidRPr="00C360A6">
        <w:t xml:space="preserve">extra </w:t>
      </w:r>
      <w:r w:rsidRPr="00C360A6">
        <w:t xml:space="preserve">challenges </w:t>
      </w:r>
      <w:r w:rsidR="00570518" w:rsidRPr="00C360A6">
        <w:t xml:space="preserve">in keeping </w:t>
      </w:r>
      <w:r w:rsidRPr="00C360A6">
        <w:t xml:space="preserve">social connections and </w:t>
      </w:r>
      <w:r w:rsidR="005F4C5D" w:rsidRPr="00C360A6">
        <w:t xml:space="preserve">taking part </w:t>
      </w:r>
      <w:r w:rsidRPr="00C360A6">
        <w:t>in community life</w:t>
      </w:r>
      <w:r w:rsidR="005F4C5D" w:rsidRPr="00C360A6">
        <w:t xml:space="preserve">. This is often the case </w:t>
      </w:r>
      <w:r w:rsidRPr="00C360A6">
        <w:t xml:space="preserve">where there are language and communication barriers. The </w:t>
      </w:r>
      <w:r w:rsidR="005F4C5D" w:rsidRPr="00C360A6">
        <w:t>a</w:t>
      </w:r>
      <w:r w:rsidRPr="00C360A6">
        <w:t xml:space="preserve">ction </w:t>
      </w:r>
      <w:r w:rsidR="005F4C5D" w:rsidRPr="00C360A6">
        <w:t>p</w:t>
      </w:r>
      <w:r w:rsidRPr="00C360A6">
        <w:t xml:space="preserve">lan recognises that LGBTIQ+ seniors may lack family connections and be at risk of isolation </w:t>
      </w:r>
      <w:proofErr w:type="gramStart"/>
      <w:r w:rsidRPr="00C360A6">
        <w:t>as a result of</w:t>
      </w:r>
      <w:proofErr w:type="gramEnd"/>
      <w:r w:rsidRPr="00C360A6">
        <w:t xml:space="preserve"> ageing. </w:t>
      </w:r>
    </w:p>
    <w:p w14:paraId="3E9BDD81" w14:textId="091799FB" w:rsidR="009E6793" w:rsidRPr="00C360A6" w:rsidRDefault="009E6793" w:rsidP="0053739A">
      <w:pPr>
        <w:pStyle w:val="Body"/>
      </w:pPr>
      <w:r w:rsidRPr="00C360A6">
        <w:t>As our population ages, we can expect more people to live to a very old age</w:t>
      </w:r>
      <w:r w:rsidR="00570518" w:rsidRPr="00C360A6">
        <w:t>. More</w:t>
      </w:r>
      <w:r w:rsidRPr="00C360A6">
        <w:t xml:space="preserve"> </w:t>
      </w:r>
      <w:r w:rsidR="00B96E1D">
        <w:t xml:space="preserve">people </w:t>
      </w:r>
      <w:r w:rsidR="00570518" w:rsidRPr="00C360A6">
        <w:t xml:space="preserve">will </w:t>
      </w:r>
      <w:r w:rsidRPr="00C360A6">
        <w:t>liv</w:t>
      </w:r>
      <w:r w:rsidR="00570518" w:rsidRPr="00C360A6">
        <w:t>e</w:t>
      </w:r>
      <w:r w:rsidRPr="00C360A6">
        <w:t xml:space="preserve"> longer in their own homes with support. </w:t>
      </w:r>
      <w:r w:rsidR="00570518" w:rsidRPr="00D00BE5">
        <w:rPr>
          <w:b/>
          <w:bCs/>
        </w:rPr>
        <w:t>A</w:t>
      </w:r>
      <w:r w:rsidRPr="00D00BE5">
        <w:rPr>
          <w:b/>
          <w:bCs/>
        </w:rPr>
        <w:t xml:space="preserve">geing </w:t>
      </w:r>
      <w:r w:rsidR="00E12068" w:rsidRPr="00D00BE5">
        <w:rPr>
          <w:b/>
          <w:bCs/>
        </w:rPr>
        <w:t>w</w:t>
      </w:r>
      <w:r w:rsidRPr="00D00BE5">
        <w:rPr>
          <w:b/>
          <w:bCs/>
        </w:rPr>
        <w:t xml:space="preserve">ell </w:t>
      </w:r>
      <w:r w:rsidR="00570518" w:rsidRPr="00D00BE5">
        <w:rPr>
          <w:b/>
          <w:bCs/>
        </w:rPr>
        <w:t>in Victoria</w:t>
      </w:r>
      <w:r w:rsidR="00570518" w:rsidRPr="00C360A6">
        <w:rPr>
          <w:i/>
          <w:iCs/>
        </w:rPr>
        <w:t xml:space="preserve"> </w:t>
      </w:r>
      <w:r w:rsidRPr="00C360A6">
        <w:t xml:space="preserve">sets out actions to address the needs of different </w:t>
      </w:r>
      <w:r w:rsidR="00570518" w:rsidRPr="00C360A6">
        <w:t xml:space="preserve">groups </w:t>
      </w:r>
      <w:r w:rsidRPr="00C360A6">
        <w:t xml:space="preserve">of older people in Victoria in four priority areas. </w:t>
      </w:r>
    </w:p>
    <w:p w14:paraId="7C8D82A3" w14:textId="7E1CB70C" w:rsidR="009E6793" w:rsidRPr="00C360A6" w:rsidRDefault="009E6793" w:rsidP="00B743FD">
      <w:pPr>
        <w:pStyle w:val="Heading2"/>
      </w:pPr>
      <w:bookmarkStart w:id="9" w:name="_Toc104995712"/>
      <w:bookmarkStart w:id="10" w:name="_Hlk92456827"/>
      <w:bookmarkStart w:id="11" w:name="_Toc107246676"/>
      <w:r w:rsidRPr="00C360A6">
        <w:t xml:space="preserve">Our </w:t>
      </w:r>
      <w:r w:rsidR="008C5F97" w:rsidRPr="00C360A6">
        <w:t>v</w:t>
      </w:r>
      <w:r w:rsidRPr="00C360A6">
        <w:t>ision</w:t>
      </w:r>
      <w:bookmarkEnd w:id="9"/>
      <w:bookmarkEnd w:id="11"/>
      <w:r w:rsidRPr="00C360A6">
        <w:t xml:space="preserve"> </w:t>
      </w:r>
    </w:p>
    <w:bookmarkEnd w:id="10"/>
    <w:p w14:paraId="5BD9B32E" w14:textId="77777777" w:rsidR="009E6793" w:rsidRPr="00C360A6" w:rsidRDefault="009E6793" w:rsidP="0053739A">
      <w:pPr>
        <w:pStyle w:val="Body"/>
        <w:rPr>
          <w:lang w:eastAsia="en-AU"/>
        </w:rPr>
      </w:pPr>
      <w:r w:rsidRPr="00C360A6">
        <w:rPr>
          <w:lang w:eastAsia="en-AU"/>
        </w:rPr>
        <w:t xml:space="preserve">Senior Victorians enjoy the benefits of living longer, as respected members of our community. </w:t>
      </w:r>
    </w:p>
    <w:p w14:paraId="49BBD13D" w14:textId="5978CFD9" w:rsidR="009E6793" w:rsidRPr="00C360A6" w:rsidRDefault="009E6793" w:rsidP="0053739A">
      <w:pPr>
        <w:pStyle w:val="Body"/>
        <w:rPr>
          <w:lang w:eastAsia="en-AU"/>
        </w:rPr>
      </w:pPr>
      <w:r w:rsidRPr="00C360A6">
        <w:rPr>
          <w:lang w:eastAsia="en-AU"/>
        </w:rPr>
        <w:t xml:space="preserve">The diversity of our population is valued and there are ongoing opportunities to contribute and </w:t>
      </w:r>
      <w:r w:rsidR="00570518" w:rsidRPr="00C360A6">
        <w:rPr>
          <w:lang w:eastAsia="en-AU"/>
        </w:rPr>
        <w:t xml:space="preserve">take part </w:t>
      </w:r>
      <w:r w:rsidRPr="00C360A6">
        <w:rPr>
          <w:lang w:eastAsia="en-AU"/>
        </w:rPr>
        <w:t xml:space="preserve">in our communities as people age. </w:t>
      </w:r>
    </w:p>
    <w:p w14:paraId="4556EFB8" w14:textId="72EC0716" w:rsidR="009E6793" w:rsidRPr="00C360A6" w:rsidRDefault="009E6793" w:rsidP="0053739A">
      <w:pPr>
        <w:pStyle w:val="Body"/>
        <w:rPr>
          <w:color w:val="000000" w:themeColor="text1"/>
          <w:lang w:eastAsia="en-AU"/>
        </w:rPr>
      </w:pPr>
      <w:r w:rsidRPr="00C360A6">
        <w:rPr>
          <w:color w:val="000000" w:themeColor="text1"/>
          <w:lang w:eastAsia="en-AU"/>
        </w:rPr>
        <w:t xml:space="preserve">All Victorians </w:t>
      </w:r>
      <w:r w:rsidR="00570518" w:rsidRPr="00C360A6">
        <w:rPr>
          <w:lang w:eastAsia="en-AU"/>
        </w:rPr>
        <w:t>can</w:t>
      </w:r>
      <w:r w:rsidRPr="00C360A6">
        <w:rPr>
          <w:lang w:eastAsia="en-AU"/>
        </w:rPr>
        <w:t xml:space="preserve"> safely age in place at home, accessing services, maintaining purpose, </w:t>
      </w:r>
      <w:proofErr w:type="gramStart"/>
      <w:r w:rsidRPr="00C360A6">
        <w:rPr>
          <w:lang w:eastAsia="en-AU"/>
        </w:rPr>
        <w:t>independence</w:t>
      </w:r>
      <w:proofErr w:type="gramEnd"/>
      <w:r w:rsidRPr="00C360A6">
        <w:rPr>
          <w:lang w:eastAsia="en-AU"/>
        </w:rPr>
        <w:t xml:space="preserve"> and autonomy in life with family, community and social connections.</w:t>
      </w:r>
    </w:p>
    <w:p w14:paraId="33374887" w14:textId="77777777" w:rsidR="009E6793" w:rsidRPr="00C360A6" w:rsidRDefault="009E6793" w:rsidP="00B743FD">
      <w:pPr>
        <w:pStyle w:val="Heading2"/>
      </w:pPr>
      <w:bookmarkStart w:id="12" w:name="_Toc104995713"/>
      <w:bookmarkStart w:id="13" w:name="_Toc107246677"/>
      <w:r w:rsidRPr="00C360A6">
        <w:t>Ageing in place</w:t>
      </w:r>
      <w:bookmarkEnd w:id="12"/>
      <w:bookmarkEnd w:id="13"/>
    </w:p>
    <w:p w14:paraId="26CA7CEF" w14:textId="6DE51A4E" w:rsidR="00514914" w:rsidRPr="00C360A6" w:rsidRDefault="009E6793" w:rsidP="0053739A">
      <w:pPr>
        <w:pStyle w:val="Body"/>
      </w:pPr>
      <w:r w:rsidRPr="00C03799">
        <w:rPr>
          <w:lang w:eastAsia="en-AU"/>
        </w:rPr>
        <w:t xml:space="preserve">Ageing in place is </w:t>
      </w:r>
      <w:r w:rsidRPr="00C03799">
        <w:t xml:space="preserve">about </w:t>
      </w:r>
      <w:r w:rsidR="00514914" w:rsidRPr="00C03799">
        <w:t>staying independent</w:t>
      </w:r>
      <w:r w:rsidRPr="00C03799">
        <w:t xml:space="preserve"> in the familiar places where we live</w:t>
      </w:r>
      <w:r w:rsidR="00514914" w:rsidRPr="00C03799">
        <w:t>. It</w:t>
      </w:r>
      <w:r w:rsidR="00514914" w:rsidRPr="00C360A6">
        <w:t xml:space="preserve"> involves</w:t>
      </w:r>
      <w:r w:rsidRPr="00C360A6" w:rsidDel="0049150A">
        <w:t xml:space="preserve"> </w:t>
      </w:r>
      <w:r w:rsidRPr="00C360A6">
        <w:t xml:space="preserve">connections to local neighbourhoods and communities. </w:t>
      </w:r>
      <w:r w:rsidR="002F5338" w:rsidRPr="00C360A6">
        <w:t>Most people prefer to age in place</w:t>
      </w:r>
      <w:r w:rsidR="002F5338" w:rsidRPr="00C360A6">
        <w:rPr>
          <w:rStyle w:val="normaltextrun"/>
        </w:rPr>
        <w:t xml:space="preserve">. </w:t>
      </w:r>
      <w:r w:rsidRPr="00C360A6">
        <w:t xml:space="preserve">Ageing in place </w:t>
      </w:r>
      <w:r w:rsidR="00DC7E83" w:rsidRPr="00C360A6">
        <w:t>become</w:t>
      </w:r>
      <w:r w:rsidR="006773CD">
        <w:t>s</w:t>
      </w:r>
      <w:r w:rsidR="00DC7E83" w:rsidRPr="00C360A6">
        <w:t xml:space="preserve"> </w:t>
      </w:r>
      <w:r w:rsidRPr="00C360A6">
        <w:t xml:space="preserve">possible </w:t>
      </w:r>
      <w:r w:rsidR="00DC7E83" w:rsidRPr="00C360A6">
        <w:t>through</w:t>
      </w:r>
      <w:r w:rsidR="00514914" w:rsidRPr="00C360A6">
        <w:t>:</w:t>
      </w:r>
      <w:r w:rsidRPr="00C360A6">
        <w:t xml:space="preserve"> </w:t>
      </w:r>
    </w:p>
    <w:p w14:paraId="71C5D2A2" w14:textId="1B4A8C51" w:rsidR="00514914" w:rsidRPr="00C360A6" w:rsidRDefault="009E6793" w:rsidP="006F4C32">
      <w:pPr>
        <w:pStyle w:val="Bullet1"/>
      </w:pPr>
      <w:r w:rsidRPr="00C360A6">
        <w:lastRenderedPageBreak/>
        <w:t>age-friendly environments for mobility and safety</w:t>
      </w:r>
    </w:p>
    <w:p w14:paraId="6176B342" w14:textId="15F5C663" w:rsidR="00514914" w:rsidRPr="00C360A6" w:rsidRDefault="009E6793" w:rsidP="006F4C32">
      <w:pPr>
        <w:pStyle w:val="Bullet1"/>
      </w:pPr>
      <w:r w:rsidRPr="00C360A6">
        <w:t>local social activities</w:t>
      </w:r>
    </w:p>
    <w:p w14:paraId="2335A6D2" w14:textId="10C877F8" w:rsidR="00514914" w:rsidRPr="00C360A6" w:rsidRDefault="009E6793" w:rsidP="006F4C32">
      <w:pPr>
        <w:pStyle w:val="Bullet1"/>
      </w:pPr>
      <w:r w:rsidRPr="00C360A6">
        <w:t xml:space="preserve">opportunities for volunteering and exercise. </w:t>
      </w:r>
    </w:p>
    <w:p w14:paraId="6AE61EFC" w14:textId="59A4A6D4" w:rsidR="009E6793" w:rsidRPr="00C360A6" w:rsidRDefault="009E6793" w:rsidP="006F4C32">
      <w:pPr>
        <w:pStyle w:val="Bodyafterbullets"/>
      </w:pPr>
      <w:r w:rsidRPr="00C360A6">
        <w:t xml:space="preserve">For some, ageing in place </w:t>
      </w:r>
      <w:r w:rsidR="00DC7E83" w:rsidRPr="00C360A6">
        <w:t>becomes</w:t>
      </w:r>
      <w:r w:rsidRPr="00C360A6">
        <w:t xml:space="preserve"> possible </w:t>
      </w:r>
      <w:r w:rsidR="00514914" w:rsidRPr="00C360A6">
        <w:t>through help</w:t>
      </w:r>
      <w:r w:rsidRPr="00C360A6">
        <w:t xml:space="preserve"> with daily activities. </w:t>
      </w:r>
    </w:p>
    <w:p w14:paraId="21D9D044" w14:textId="16C80DDC" w:rsidR="00514914" w:rsidRPr="00C360A6" w:rsidRDefault="009E6793" w:rsidP="0053739A">
      <w:pPr>
        <w:pStyle w:val="Body"/>
        <w:rPr>
          <w:rStyle w:val="normaltextrun"/>
        </w:rPr>
      </w:pPr>
      <w:r w:rsidRPr="00C360A6">
        <w:rPr>
          <w:rStyle w:val="normaltextrun"/>
        </w:rPr>
        <w:t>Older people living in aged care facilities also have the right to age well with</w:t>
      </w:r>
      <w:r w:rsidR="00514914" w:rsidRPr="00C360A6">
        <w:rPr>
          <w:rStyle w:val="normaltextrun"/>
        </w:rPr>
        <w:t>:</w:t>
      </w:r>
      <w:r w:rsidRPr="00C360A6">
        <w:rPr>
          <w:rStyle w:val="normaltextrun"/>
        </w:rPr>
        <w:t xml:space="preserve"> </w:t>
      </w:r>
    </w:p>
    <w:p w14:paraId="2D7C3862" w14:textId="1CA10A3B" w:rsidR="00514914" w:rsidRPr="00C360A6" w:rsidRDefault="009E6793" w:rsidP="006F4C32">
      <w:pPr>
        <w:pStyle w:val="Bullet1"/>
        <w:rPr>
          <w:rStyle w:val="normaltextrun"/>
        </w:rPr>
      </w:pPr>
      <w:r w:rsidRPr="00C360A6">
        <w:rPr>
          <w:rStyle w:val="normaltextrun"/>
        </w:rPr>
        <w:t>essential services</w:t>
      </w:r>
    </w:p>
    <w:p w14:paraId="5ED63897" w14:textId="69122C88" w:rsidR="00514914" w:rsidRPr="00C360A6" w:rsidRDefault="009E6793" w:rsidP="006F4C32">
      <w:pPr>
        <w:pStyle w:val="Bullet1"/>
        <w:rPr>
          <w:rStyle w:val="normaltextrun"/>
        </w:rPr>
      </w:pPr>
      <w:r w:rsidRPr="00C360A6">
        <w:rPr>
          <w:rStyle w:val="normaltextrun"/>
        </w:rPr>
        <w:t>community and family support</w:t>
      </w:r>
    </w:p>
    <w:p w14:paraId="193F8F61" w14:textId="68780149" w:rsidR="009E6793" w:rsidRPr="00C360A6" w:rsidRDefault="009E6793" w:rsidP="006F4C32">
      <w:pPr>
        <w:pStyle w:val="Bullet1"/>
        <w:rPr>
          <w:rStyle w:val="normaltextrun"/>
        </w:rPr>
      </w:pPr>
      <w:r w:rsidRPr="00C360A6">
        <w:rPr>
          <w:rStyle w:val="normaltextrun"/>
        </w:rPr>
        <w:t>opportunities for social participation and lifelong learning.</w:t>
      </w:r>
    </w:p>
    <w:p w14:paraId="366C2A05" w14:textId="1680676A" w:rsidR="009E6793" w:rsidRPr="00C360A6" w:rsidRDefault="009E6793" w:rsidP="00B743FD">
      <w:pPr>
        <w:pStyle w:val="Heading1"/>
      </w:pPr>
      <w:bookmarkStart w:id="14" w:name="_Toc104995714"/>
      <w:bookmarkStart w:id="15" w:name="_Toc107246678"/>
      <w:r w:rsidRPr="00C360A6">
        <w:t>Ageing well in Victoria</w:t>
      </w:r>
      <w:bookmarkEnd w:id="14"/>
      <w:bookmarkEnd w:id="15"/>
    </w:p>
    <w:p w14:paraId="6E94DAFB" w14:textId="0104EFED" w:rsidR="009E6793" w:rsidRPr="00C360A6" w:rsidRDefault="009E6793" w:rsidP="0053739A">
      <w:pPr>
        <w:pStyle w:val="Body"/>
      </w:pPr>
      <w:r w:rsidRPr="00C360A6">
        <w:t>Before the coronavirus (COVID-19) pandemic, the Commissioner for Senior Victorians surveyed approximately 5,000 older Victorians</w:t>
      </w:r>
      <w:r w:rsidR="00E47985" w:rsidRPr="00C360A6">
        <w:t xml:space="preserve">. The Commissioner asked </w:t>
      </w:r>
      <w:r w:rsidRPr="00C360A6">
        <w:t xml:space="preserve">what it means to age well, the barriers to ageing well and the opportunities to better support ageing well. The outcomes were released in the 2020 report, </w:t>
      </w:r>
      <w:r w:rsidRPr="00D00BE5">
        <w:rPr>
          <w:b/>
          <w:bCs/>
        </w:rPr>
        <w:t>Ageing well in a changing world</w:t>
      </w:r>
      <w:r w:rsidRPr="00C360A6">
        <w:rPr>
          <w:i/>
          <w:iCs/>
        </w:rPr>
        <w:t>.</w:t>
      </w:r>
      <w:r w:rsidRPr="00C360A6">
        <w:t xml:space="preserve"> The report details issues of concern to seniors and opportunities to improve their quality of life. </w:t>
      </w:r>
    </w:p>
    <w:p w14:paraId="5FA1AEDE" w14:textId="2E568F1F" w:rsidR="009E6793" w:rsidRPr="00C360A6" w:rsidRDefault="009E6793" w:rsidP="0053739A">
      <w:pPr>
        <w:pStyle w:val="Body"/>
        <w:rPr>
          <w:b/>
          <w:bCs/>
        </w:rPr>
      </w:pPr>
      <w:r w:rsidRPr="00C360A6">
        <w:t xml:space="preserve">The </w:t>
      </w:r>
      <w:r w:rsidR="00E12068" w:rsidRPr="00C360A6">
        <w:t>a</w:t>
      </w:r>
      <w:r w:rsidRPr="00C360A6">
        <w:t xml:space="preserve">ction </w:t>
      </w:r>
      <w:r w:rsidR="00E12068" w:rsidRPr="00C360A6">
        <w:t>p</w:t>
      </w:r>
      <w:r w:rsidRPr="00C360A6">
        <w:t xml:space="preserve">lan includes actions to support older Victorians to </w:t>
      </w:r>
      <w:r w:rsidR="007E500D" w:rsidRPr="00C360A6">
        <w:t>achieve and live with</w:t>
      </w:r>
      <w:r w:rsidRPr="00C360A6">
        <w:t xml:space="preserve"> the </w:t>
      </w:r>
      <w:r w:rsidR="00BD2773" w:rsidRPr="00C360A6">
        <w:rPr>
          <w:b/>
          <w:bCs/>
        </w:rPr>
        <w:t>e</w:t>
      </w:r>
      <w:r w:rsidRPr="00C360A6">
        <w:rPr>
          <w:b/>
          <w:bCs/>
        </w:rPr>
        <w:t xml:space="preserve">ight </w:t>
      </w:r>
      <w:r w:rsidR="00BD2773" w:rsidRPr="00C360A6">
        <w:rPr>
          <w:b/>
          <w:bCs/>
        </w:rPr>
        <w:t>a</w:t>
      </w:r>
      <w:r w:rsidRPr="00C360A6">
        <w:rPr>
          <w:b/>
          <w:bCs/>
        </w:rPr>
        <w:t xml:space="preserve">ttributes of </w:t>
      </w:r>
      <w:r w:rsidR="00BD2773" w:rsidRPr="00C360A6">
        <w:rPr>
          <w:b/>
          <w:bCs/>
        </w:rPr>
        <w:t>a</w:t>
      </w:r>
      <w:r w:rsidRPr="00C360A6">
        <w:rPr>
          <w:b/>
          <w:bCs/>
        </w:rPr>
        <w:t xml:space="preserve">geing </w:t>
      </w:r>
      <w:r w:rsidR="00BD2773" w:rsidRPr="00C360A6">
        <w:rPr>
          <w:b/>
          <w:bCs/>
        </w:rPr>
        <w:t>w</w:t>
      </w:r>
      <w:r w:rsidRPr="00C360A6">
        <w:rPr>
          <w:b/>
          <w:bCs/>
        </w:rPr>
        <w:t>ell</w:t>
      </w:r>
      <w:r w:rsidRPr="00C360A6">
        <w:t xml:space="preserve"> the Commissioner</w:t>
      </w:r>
      <w:r w:rsidR="00DC7E83" w:rsidRPr="00C360A6">
        <w:t xml:space="preserve"> identified</w:t>
      </w:r>
      <w:r w:rsidRPr="00C360A6">
        <w:t>:</w:t>
      </w:r>
    </w:p>
    <w:p w14:paraId="6B11967C" w14:textId="77777777" w:rsidR="007E500D" w:rsidRPr="00C360A6" w:rsidRDefault="009E6793" w:rsidP="00B743FD">
      <w:pPr>
        <w:pStyle w:val="Numberdigit"/>
        <w:rPr>
          <w:rStyle w:val="normaltextrun"/>
          <w:rFonts w:cs="Calibri"/>
        </w:rPr>
      </w:pPr>
      <w:r w:rsidRPr="00C360A6">
        <w:rPr>
          <w:rStyle w:val="normaltextrun"/>
          <w:rFonts w:cs="Calibri"/>
          <w:b/>
          <w:bCs/>
        </w:rPr>
        <w:t>A positive attitude</w:t>
      </w:r>
    </w:p>
    <w:p w14:paraId="07407738" w14:textId="4C665EA7" w:rsidR="007E500D" w:rsidRPr="00C360A6" w:rsidRDefault="009E6793" w:rsidP="007E500D">
      <w:pPr>
        <w:pStyle w:val="Bullet2"/>
        <w:rPr>
          <w:rStyle w:val="normaltextrun"/>
          <w:rFonts w:cs="Calibri"/>
        </w:rPr>
      </w:pPr>
      <w:r w:rsidRPr="00C360A6">
        <w:rPr>
          <w:rStyle w:val="normaltextrun"/>
          <w:rFonts w:cs="Calibri"/>
        </w:rPr>
        <w:t xml:space="preserve">to ageing, enjoying </w:t>
      </w:r>
      <w:proofErr w:type="gramStart"/>
      <w:r w:rsidRPr="00C360A6">
        <w:rPr>
          <w:rStyle w:val="normaltextrun"/>
          <w:rFonts w:cs="Calibri"/>
        </w:rPr>
        <w:t>life</w:t>
      </w:r>
      <w:proofErr w:type="gramEnd"/>
      <w:r w:rsidRPr="00C360A6">
        <w:rPr>
          <w:rStyle w:val="normaltextrun"/>
          <w:rFonts w:cs="Calibri"/>
        </w:rPr>
        <w:t xml:space="preserve"> and having fun</w:t>
      </w:r>
    </w:p>
    <w:p w14:paraId="34900279" w14:textId="0E4A1712" w:rsidR="007E500D" w:rsidRPr="00C360A6" w:rsidRDefault="009E6793" w:rsidP="007E500D">
      <w:pPr>
        <w:pStyle w:val="Bullet2"/>
        <w:rPr>
          <w:rStyle w:val="normaltextrun"/>
          <w:rFonts w:cs="Calibri"/>
        </w:rPr>
      </w:pPr>
      <w:r w:rsidRPr="00C360A6">
        <w:rPr>
          <w:rStyle w:val="normaltextrun"/>
          <w:rFonts w:cs="Calibri"/>
        </w:rPr>
        <w:t>able to deal with life changes such as loss and grief</w:t>
      </w:r>
    </w:p>
    <w:p w14:paraId="47596C67" w14:textId="4B63C9C8" w:rsidR="007E500D" w:rsidRPr="00C360A6" w:rsidRDefault="009E6793" w:rsidP="007E500D">
      <w:pPr>
        <w:pStyle w:val="Bullet2"/>
        <w:rPr>
          <w:rStyle w:val="normaltextrun"/>
          <w:rFonts w:cs="Calibri"/>
        </w:rPr>
      </w:pPr>
      <w:r w:rsidRPr="00C360A6">
        <w:rPr>
          <w:rStyle w:val="normaltextrun"/>
          <w:rFonts w:cs="Calibri"/>
        </w:rPr>
        <w:t>having realistic expectations about abilities and limitations</w:t>
      </w:r>
    </w:p>
    <w:p w14:paraId="57057133" w14:textId="4E40D8FE" w:rsidR="007E500D" w:rsidRPr="00C360A6" w:rsidRDefault="009E6793" w:rsidP="007E500D">
      <w:pPr>
        <w:pStyle w:val="Bullet2"/>
        <w:rPr>
          <w:rStyle w:val="normaltextrun"/>
          <w:rFonts w:cs="Calibri"/>
        </w:rPr>
      </w:pPr>
      <w:r w:rsidRPr="00C360A6">
        <w:rPr>
          <w:rStyle w:val="normaltextrun"/>
          <w:rFonts w:cs="Calibri"/>
        </w:rPr>
        <w:t>accepting that help with daily life may be needed one day</w:t>
      </w:r>
    </w:p>
    <w:p w14:paraId="58BE52D6" w14:textId="28D17239" w:rsidR="009E6793" w:rsidRPr="00C360A6" w:rsidRDefault="009E6793" w:rsidP="006F4C32">
      <w:pPr>
        <w:pStyle w:val="Bullet2"/>
        <w:rPr>
          <w:rStyle w:val="normaltextrun"/>
          <w:rFonts w:cs="Calibri"/>
        </w:rPr>
      </w:pPr>
      <w:r w:rsidRPr="00C360A6">
        <w:rPr>
          <w:rStyle w:val="normaltextrun"/>
          <w:rFonts w:cs="Calibri"/>
        </w:rPr>
        <w:t>able to deal with a shrinking social circle as you age.</w:t>
      </w:r>
    </w:p>
    <w:p w14:paraId="3C4D0583" w14:textId="77777777" w:rsidR="007E500D" w:rsidRPr="00C360A6" w:rsidRDefault="009E6793" w:rsidP="00B743FD">
      <w:pPr>
        <w:pStyle w:val="Numberdigit"/>
        <w:rPr>
          <w:rStyle w:val="normaltextrun"/>
          <w:rFonts w:cs="Calibri"/>
        </w:rPr>
      </w:pPr>
      <w:r w:rsidRPr="00C360A6">
        <w:rPr>
          <w:rStyle w:val="normaltextrun"/>
          <w:rFonts w:cs="Calibri"/>
          <w:b/>
          <w:bCs/>
        </w:rPr>
        <w:t>Life has purpose and meaning</w:t>
      </w:r>
    </w:p>
    <w:p w14:paraId="7CAA9C86" w14:textId="35E929C3" w:rsidR="007E500D" w:rsidRPr="00C360A6" w:rsidRDefault="009E6793" w:rsidP="007E500D">
      <w:pPr>
        <w:pStyle w:val="Bullet2"/>
        <w:rPr>
          <w:rStyle w:val="normaltextrun"/>
          <w:rFonts w:cs="Calibri"/>
        </w:rPr>
      </w:pPr>
      <w:r w:rsidRPr="00C360A6">
        <w:rPr>
          <w:rStyle w:val="normaltextrun"/>
          <w:rFonts w:cs="Calibri"/>
        </w:rPr>
        <w:t>finding meaningful social roles and continue to contribute to society</w:t>
      </w:r>
    </w:p>
    <w:p w14:paraId="2B27F9F7" w14:textId="36351676" w:rsidR="007E500D" w:rsidRPr="00D93297" w:rsidRDefault="009E6793" w:rsidP="007E500D">
      <w:pPr>
        <w:pStyle w:val="Bullet2"/>
        <w:rPr>
          <w:rStyle w:val="normaltextrun"/>
          <w:rFonts w:cs="Calibri"/>
        </w:rPr>
      </w:pPr>
      <w:r w:rsidRPr="00D93297">
        <w:rPr>
          <w:rStyle w:val="normaltextrun"/>
          <w:rFonts w:cs="Calibri"/>
        </w:rPr>
        <w:t>recognised an</w:t>
      </w:r>
      <w:r w:rsidR="00721A62" w:rsidRPr="00D93297">
        <w:rPr>
          <w:rStyle w:val="normaltextrun"/>
          <w:rFonts w:cs="Calibri"/>
        </w:rPr>
        <w:t>d</w:t>
      </w:r>
      <w:r w:rsidRPr="00D93297">
        <w:rPr>
          <w:rStyle w:val="normaltextrun"/>
          <w:rFonts w:cs="Calibri"/>
        </w:rPr>
        <w:t xml:space="preserve"> acknowledged as capable and able to contribute</w:t>
      </w:r>
    </w:p>
    <w:p w14:paraId="25E9404D" w14:textId="45D946BD" w:rsidR="007E500D" w:rsidRPr="00C360A6" w:rsidRDefault="009E6793" w:rsidP="007E500D">
      <w:pPr>
        <w:pStyle w:val="Bullet2"/>
        <w:rPr>
          <w:rStyle w:val="normaltextrun"/>
          <w:rFonts w:cs="Calibri"/>
        </w:rPr>
      </w:pPr>
      <w:r w:rsidRPr="00C360A6">
        <w:rPr>
          <w:rStyle w:val="normaltextrun"/>
          <w:rFonts w:cs="Calibri"/>
        </w:rPr>
        <w:t xml:space="preserve">able to access employment, volunteering, lifelong </w:t>
      </w:r>
      <w:proofErr w:type="gramStart"/>
      <w:r w:rsidRPr="00C360A6">
        <w:rPr>
          <w:rStyle w:val="normaltextrun"/>
          <w:rFonts w:cs="Calibri"/>
        </w:rPr>
        <w:t>learning</w:t>
      </w:r>
      <w:proofErr w:type="gramEnd"/>
      <w:r w:rsidRPr="00C360A6">
        <w:rPr>
          <w:rStyle w:val="normaltextrun"/>
          <w:rFonts w:cs="Calibri"/>
        </w:rPr>
        <w:t xml:space="preserve"> and other opportunities</w:t>
      </w:r>
    </w:p>
    <w:p w14:paraId="6AD3DD77" w14:textId="0E0E6741" w:rsidR="007E500D" w:rsidRPr="00C360A6" w:rsidRDefault="009E6793" w:rsidP="007E500D">
      <w:pPr>
        <w:pStyle w:val="Bullet2"/>
        <w:rPr>
          <w:rStyle w:val="normaltextrun"/>
          <w:rFonts w:cs="Calibri"/>
        </w:rPr>
      </w:pPr>
      <w:r w:rsidRPr="00C360A6">
        <w:rPr>
          <w:rStyle w:val="normaltextrun"/>
          <w:rFonts w:cs="Calibri"/>
        </w:rPr>
        <w:t>having personal independence and autonomy in decision</w:t>
      </w:r>
      <w:r w:rsidR="007E500D" w:rsidRPr="00C360A6">
        <w:rPr>
          <w:rStyle w:val="normaltextrun"/>
          <w:rFonts w:cs="Calibri"/>
        </w:rPr>
        <w:t xml:space="preserve"> </w:t>
      </w:r>
      <w:r w:rsidRPr="00C360A6">
        <w:rPr>
          <w:rStyle w:val="normaltextrun"/>
          <w:rFonts w:cs="Calibri"/>
        </w:rPr>
        <w:t>making</w:t>
      </w:r>
    </w:p>
    <w:p w14:paraId="187CD3EE" w14:textId="0F9F3C2A" w:rsidR="009E6793" w:rsidRPr="00C360A6" w:rsidRDefault="009E6793" w:rsidP="006F4C32">
      <w:pPr>
        <w:pStyle w:val="Bullet2"/>
        <w:rPr>
          <w:rStyle w:val="normaltextrun"/>
          <w:rFonts w:cs="Calibri"/>
        </w:rPr>
      </w:pPr>
      <w:r w:rsidRPr="00C360A6">
        <w:rPr>
          <w:rStyle w:val="normaltextrun"/>
          <w:rFonts w:cs="Calibri"/>
        </w:rPr>
        <w:t>key wishes and aspirations for living are understood and acknowledged.</w:t>
      </w:r>
    </w:p>
    <w:p w14:paraId="06723C08" w14:textId="77777777" w:rsidR="007E500D" w:rsidRPr="00C360A6" w:rsidRDefault="009E6793" w:rsidP="00B743FD">
      <w:pPr>
        <w:pStyle w:val="Numberdigit"/>
        <w:rPr>
          <w:rStyle w:val="normaltextrun"/>
          <w:rFonts w:cs="Calibri"/>
        </w:rPr>
      </w:pPr>
      <w:r w:rsidRPr="00C360A6">
        <w:rPr>
          <w:rStyle w:val="normaltextrun"/>
          <w:rFonts w:cs="Calibri"/>
          <w:b/>
          <w:bCs/>
        </w:rPr>
        <w:t xml:space="preserve">Respected and respectful </w:t>
      </w:r>
    </w:p>
    <w:p w14:paraId="4A4994F4" w14:textId="4E342F0C" w:rsidR="007E500D" w:rsidRPr="00C360A6" w:rsidRDefault="009E6793" w:rsidP="007E500D">
      <w:pPr>
        <w:pStyle w:val="Bullet2"/>
        <w:rPr>
          <w:rStyle w:val="normaltextrun"/>
          <w:rFonts w:cs="Calibri"/>
        </w:rPr>
      </w:pPr>
      <w:r w:rsidRPr="00C360A6">
        <w:rPr>
          <w:rStyle w:val="normaltextrun"/>
          <w:rFonts w:cs="Calibri"/>
        </w:rPr>
        <w:t>valued in society as a respected member of the community</w:t>
      </w:r>
    </w:p>
    <w:p w14:paraId="72F931BC" w14:textId="42FDD00D" w:rsidR="007E500D" w:rsidRPr="00C360A6" w:rsidRDefault="009E6793" w:rsidP="007E500D">
      <w:pPr>
        <w:pStyle w:val="Bullet2"/>
        <w:rPr>
          <w:rStyle w:val="normaltextrun"/>
          <w:rFonts w:cs="Calibri"/>
        </w:rPr>
      </w:pPr>
      <w:r w:rsidRPr="00C360A6">
        <w:rPr>
          <w:rStyle w:val="normaltextrun"/>
          <w:rFonts w:cs="Calibri"/>
        </w:rPr>
        <w:t>having a voice and the opportunity to be heard</w:t>
      </w:r>
    </w:p>
    <w:p w14:paraId="58DD1FE5" w14:textId="1E2363C2" w:rsidR="007E500D" w:rsidRPr="00C360A6" w:rsidRDefault="009E6793" w:rsidP="007E500D">
      <w:pPr>
        <w:pStyle w:val="Bullet2"/>
        <w:rPr>
          <w:rStyle w:val="normaltextrun"/>
          <w:rFonts w:cs="Calibri"/>
        </w:rPr>
      </w:pPr>
      <w:r w:rsidRPr="00C360A6">
        <w:rPr>
          <w:rStyle w:val="normaltextrun"/>
          <w:rFonts w:cs="Calibri"/>
        </w:rPr>
        <w:t>working together across generations and within community</w:t>
      </w:r>
    </w:p>
    <w:p w14:paraId="0736B2FB" w14:textId="4EB6C592" w:rsidR="007E500D" w:rsidRPr="00C360A6" w:rsidRDefault="009E6793" w:rsidP="007E500D">
      <w:pPr>
        <w:pStyle w:val="Bullet2"/>
        <w:rPr>
          <w:rStyle w:val="normaltextrun"/>
          <w:rFonts w:cs="Calibri"/>
        </w:rPr>
      </w:pPr>
      <w:r w:rsidRPr="00C360A6">
        <w:rPr>
          <w:rStyle w:val="normaltextrun"/>
          <w:rFonts w:cs="Calibri"/>
        </w:rPr>
        <w:t xml:space="preserve">tolerant of others and receiving respect from others including government, younger </w:t>
      </w:r>
      <w:proofErr w:type="gramStart"/>
      <w:r w:rsidRPr="00C360A6">
        <w:rPr>
          <w:rStyle w:val="normaltextrun"/>
          <w:rFonts w:cs="Calibri"/>
        </w:rPr>
        <w:t>people</w:t>
      </w:r>
      <w:proofErr w:type="gramEnd"/>
      <w:r w:rsidRPr="00C360A6">
        <w:rPr>
          <w:rStyle w:val="normaltextrun"/>
          <w:rFonts w:cs="Calibri"/>
        </w:rPr>
        <w:t xml:space="preserve"> and businesses</w:t>
      </w:r>
    </w:p>
    <w:p w14:paraId="7F369B95" w14:textId="54C63F70" w:rsidR="007E500D" w:rsidRPr="00C360A6" w:rsidRDefault="009E6793" w:rsidP="007E500D">
      <w:pPr>
        <w:pStyle w:val="Bullet2"/>
        <w:rPr>
          <w:rStyle w:val="normaltextrun"/>
          <w:rFonts w:cs="Calibri"/>
        </w:rPr>
      </w:pPr>
      <w:r w:rsidRPr="00C360A6">
        <w:rPr>
          <w:rStyle w:val="normaltextrun"/>
          <w:rFonts w:cs="Calibri"/>
        </w:rPr>
        <w:t>not subject to ageism, stigmatised, ignored or denied service because you are old</w:t>
      </w:r>
    </w:p>
    <w:p w14:paraId="07DB126D" w14:textId="209E97E9" w:rsidR="009E6793" w:rsidRPr="00C360A6" w:rsidRDefault="009E6793" w:rsidP="006F4C32">
      <w:pPr>
        <w:pStyle w:val="Bullet2"/>
        <w:rPr>
          <w:rStyle w:val="normaltextrun"/>
          <w:rFonts w:cs="Calibri"/>
        </w:rPr>
      </w:pPr>
      <w:r w:rsidRPr="00C360A6">
        <w:rPr>
          <w:rStyle w:val="normaltextrun"/>
          <w:rFonts w:cs="Calibri"/>
        </w:rPr>
        <w:t xml:space="preserve">respect for personal identity, culture, </w:t>
      </w:r>
      <w:proofErr w:type="gramStart"/>
      <w:r w:rsidRPr="00C360A6">
        <w:rPr>
          <w:rStyle w:val="normaltextrun"/>
          <w:rFonts w:cs="Calibri"/>
        </w:rPr>
        <w:t>gender</w:t>
      </w:r>
      <w:proofErr w:type="gramEnd"/>
      <w:r w:rsidRPr="00C360A6">
        <w:rPr>
          <w:rStyle w:val="normaltextrun"/>
          <w:rFonts w:cs="Calibri"/>
        </w:rPr>
        <w:t xml:space="preserve"> and diversity. </w:t>
      </w:r>
    </w:p>
    <w:p w14:paraId="35DCEBFF" w14:textId="547C9DE1" w:rsidR="007E500D" w:rsidRPr="00C360A6" w:rsidRDefault="009E6793" w:rsidP="00B743FD">
      <w:pPr>
        <w:pStyle w:val="Numberdigit"/>
        <w:rPr>
          <w:rStyle w:val="normaltextrun"/>
          <w:rFonts w:cs="Calibri"/>
        </w:rPr>
      </w:pPr>
      <w:r w:rsidRPr="00C360A6">
        <w:rPr>
          <w:rStyle w:val="normaltextrun"/>
          <w:rFonts w:cs="Calibri"/>
          <w:b/>
          <w:bCs/>
        </w:rPr>
        <w:lastRenderedPageBreak/>
        <w:t xml:space="preserve">Connected to family, </w:t>
      </w:r>
      <w:proofErr w:type="gramStart"/>
      <w:r w:rsidRPr="00C360A6">
        <w:rPr>
          <w:rStyle w:val="normaltextrun"/>
          <w:rFonts w:cs="Calibri"/>
          <w:b/>
          <w:bCs/>
        </w:rPr>
        <w:t>friends</w:t>
      </w:r>
      <w:proofErr w:type="gramEnd"/>
      <w:r w:rsidRPr="00C360A6">
        <w:rPr>
          <w:rStyle w:val="normaltextrun"/>
          <w:rFonts w:cs="Calibri"/>
          <w:b/>
          <w:bCs/>
        </w:rPr>
        <w:t xml:space="preserve"> and society </w:t>
      </w:r>
    </w:p>
    <w:p w14:paraId="70114B6D" w14:textId="57142123" w:rsidR="007E500D" w:rsidRPr="00C360A6" w:rsidRDefault="009E6793" w:rsidP="007E500D">
      <w:pPr>
        <w:pStyle w:val="Bullet2"/>
        <w:rPr>
          <w:rStyle w:val="normaltextrun"/>
          <w:rFonts w:cs="Calibri"/>
        </w:rPr>
      </w:pPr>
      <w:r w:rsidRPr="00C360A6">
        <w:rPr>
          <w:rStyle w:val="normaltextrun"/>
          <w:rFonts w:cs="Calibri"/>
        </w:rPr>
        <w:t xml:space="preserve">having and </w:t>
      </w:r>
      <w:r w:rsidR="000B26EC" w:rsidRPr="00C360A6">
        <w:rPr>
          <w:rStyle w:val="normaltextrun"/>
          <w:rFonts w:cs="Calibri"/>
        </w:rPr>
        <w:t xml:space="preserve">keeping </w:t>
      </w:r>
      <w:r w:rsidRPr="00C360A6">
        <w:rPr>
          <w:rStyle w:val="normaltextrun"/>
          <w:rFonts w:cs="Calibri"/>
        </w:rPr>
        <w:t>fulfilling and sustaining social connections and personal relationships, including family relationships and friendships</w:t>
      </w:r>
    </w:p>
    <w:p w14:paraId="3AD86C68" w14:textId="7947A793" w:rsidR="007E500D" w:rsidRPr="00C360A6" w:rsidRDefault="009E6793" w:rsidP="007E500D">
      <w:pPr>
        <w:pStyle w:val="Bullet2"/>
        <w:rPr>
          <w:rStyle w:val="normaltextrun"/>
          <w:rFonts w:cs="Calibri"/>
        </w:rPr>
      </w:pPr>
      <w:r w:rsidRPr="00C360A6">
        <w:rPr>
          <w:rStyle w:val="normaltextrun"/>
          <w:rFonts w:cs="Calibri"/>
        </w:rPr>
        <w:t xml:space="preserve">able to </w:t>
      </w:r>
      <w:r w:rsidR="000B26EC" w:rsidRPr="00C360A6">
        <w:rPr>
          <w:rStyle w:val="normaltextrun"/>
          <w:rFonts w:cs="Calibri"/>
        </w:rPr>
        <w:t xml:space="preserve">take part </w:t>
      </w:r>
      <w:r w:rsidRPr="00C360A6">
        <w:rPr>
          <w:rStyle w:val="normaltextrun"/>
          <w:rFonts w:cs="Calibri"/>
        </w:rPr>
        <w:t>in meaningful activities related to interests</w:t>
      </w:r>
    </w:p>
    <w:p w14:paraId="344D124E" w14:textId="4CF4B4A1" w:rsidR="007E500D" w:rsidRPr="00C360A6" w:rsidRDefault="009E6793" w:rsidP="007E500D">
      <w:pPr>
        <w:pStyle w:val="Bullet2"/>
        <w:rPr>
          <w:rStyle w:val="normaltextrun"/>
          <w:rFonts w:cs="Calibri"/>
        </w:rPr>
      </w:pPr>
      <w:r w:rsidRPr="00C360A6">
        <w:rPr>
          <w:rStyle w:val="normaltextrun"/>
          <w:rFonts w:cs="Calibri"/>
        </w:rPr>
        <w:t>having places to meet and connect with other people</w:t>
      </w:r>
    </w:p>
    <w:p w14:paraId="25F60AA8" w14:textId="62C252A3" w:rsidR="007E500D" w:rsidRPr="00C360A6" w:rsidRDefault="009E6793" w:rsidP="007E500D">
      <w:pPr>
        <w:pStyle w:val="Bullet2"/>
        <w:rPr>
          <w:rStyle w:val="normaltextrun"/>
          <w:rFonts w:cs="Calibri"/>
        </w:rPr>
      </w:pPr>
      <w:r w:rsidRPr="00C360A6">
        <w:rPr>
          <w:rStyle w:val="normaltextrun"/>
          <w:rFonts w:cs="Calibri"/>
        </w:rPr>
        <w:t>able to meet with people from the same cultural background as well as from diverse backgrounds</w:t>
      </w:r>
    </w:p>
    <w:p w14:paraId="7A5EA594" w14:textId="53E9225D" w:rsidR="009E6793" w:rsidRPr="00C360A6" w:rsidRDefault="009E6793" w:rsidP="006F4C32">
      <w:pPr>
        <w:pStyle w:val="Bullet2"/>
        <w:rPr>
          <w:rStyle w:val="normaltextrun"/>
          <w:rFonts w:cs="Calibri"/>
        </w:rPr>
      </w:pPr>
      <w:r w:rsidRPr="00C360A6">
        <w:rPr>
          <w:rStyle w:val="normaltextrun"/>
          <w:rFonts w:cs="Calibri"/>
        </w:rPr>
        <w:t xml:space="preserve">able to </w:t>
      </w:r>
      <w:r w:rsidR="000B26EC" w:rsidRPr="00C360A6">
        <w:rPr>
          <w:rStyle w:val="normaltextrun"/>
          <w:rFonts w:cs="Calibri"/>
        </w:rPr>
        <w:t xml:space="preserve">get </w:t>
      </w:r>
      <w:r w:rsidRPr="00C360A6">
        <w:rPr>
          <w:rStyle w:val="normaltextrun"/>
          <w:rFonts w:cs="Calibri"/>
        </w:rPr>
        <w:t>support for risks such as elder abuse.</w:t>
      </w:r>
    </w:p>
    <w:p w14:paraId="511BBC50" w14:textId="77777777" w:rsidR="007E500D" w:rsidRPr="00C360A6" w:rsidRDefault="009E6793" w:rsidP="00B743FD">
      <w:pPr>
        <w:pStyle w:val="Numberdigit"/>
        <w:rPr>
          <w:rStyle w:val="normaltextrun"/>
        </w:rPr>
      </w:pPr>
      <w:r w:rsidRPr="00C360A6">
        <w:rPr>
          <w:rStyle w:val="normaltextrun"/>
          <w:b/>
          <w:bCs/>
        </w:rPr>
        <w:t>In touch with a changing world</w:t>
      </w:r>
      <w:r w:rsidRPr="00C360A6">
        <w:rPr>
          <w:rStyle w:val="normaltextrun"/>
        </w:rPr>
        <w:t xml:space="preserve"> </w:t>
      </w:r>
    </w:p>
    <w:p w14:paraId="23C86D1E" w14:textId="4A65D39C" w:rsidR="007E500D" w:rsidRPr="00C360A6" w:rsidRDefault="009E6793" w:rsidP="007E500D">
      <w:pPr>
        <w:pStyle w:val="Bullet2"/>
        <w:rPr>
          <w:rStyle w:val="normaltextrun"/>
        </w:rPr>
      </w:pPr>
      <w:r w:rsidRPr="00C360A6">
        <w:rPr>
          <w:rStyle w:val="normaltextrun"/>
        </w:rPr>
        <w:t>not left behind in our changing world</w:t>
      </w:r>
    </w:p>
    <w:p w14:paraId="480D6388" w14:textId="5B5A335D" w:rsidR="007E500D" w:rsidRPr="00C360A6" w:rsidRDefault="009E6793" w:rsidP="007E500D">
      <w:pPr>
        <w:pStyle w:val="Bullet2"/>
        <w:rPr>
          <w:rStyle w:val="normaltextrun"/>
        </w:rPr>
      </w:pPr>
      <w:r w:rsidRPr="00C360A6">
        <w:rPr>
          <w:rStyle w:val="normaltextrun"/>
        </w:rPr>
        <w:t xml:space="preserve">knowing what </w:t>
      </w:r>
      <w:r w:rsidR="000B26EC" w:rsidRPr="00C360A6">
        <w:rPr>
          <w:rStyle w:val="normaltextrun"/>
        </w:rPr>
        <w:t xml:space="preserve">help </w:t>
      </w:r>
      <w:r w:rsidRPr="00C360A6">
        <w:rPr>
          <w:rStyle w:val="normaltextrun"/>
        </w:rPr>
        <w:t>is available as needs change and increase</w:t>
      </w:r>
    </w:p>
    <w:p w14:paraId="1D94002C" w14:textId="4F70764B" w:rsidR="007E500D" w:rsidRPr="00C360A6" w:rsidRDefault="009E6793" w:rsidP="007E500D">
      <w:pPr>
        <w:pStyle w:val="Bullet2"/>
        <w:rPr>
          <w:rStyle w:val="normaltextrun"/>
        </w:rPr>
      </w:pPr>
      <w:r w:rsidRPr="00C360A6">
        <w:rPr>
          <w:rStyle w:val="normaltextrun"/>
        </w:rPr>
        <w:t xml:space="preserve">able to </w:t>
      </w:r>
      <w:r w:rsidR="000B26EC" w:rsidRPr="00C360A6">
        <w:rPr>
          <w:rStyle w:val="normaltextrun"/>
        </w:rPr>
        <w:t xml:space="preserve">get </w:t>
      </w:r>
      <w:r w:rsidRPr="00C360A6">
        <w:rPr>
          <w:rStyle w:val="normaltextrun"/>
        </w:rPr>
        <w:t>information when needed</w:t>
      </w:r>
    </w:p>
    <w:p w14:paraId="438AF59F" w14:textId="033AB202" w:rsidR="007E500D" w:rsidRPr="00C360A6" w:rsidRDefault="009E6793" w:rsidP="007E500D">
      <w:pPr>
        <w:pStyle w:val="Bullet2"/>
        <w:rPr>
          <w:rStyle w:val="normaltextrun"/>
        </w:rPr>
      </w:pPr>
      <w:r w:rsidRPr="00C360A6">
        <w:rPr>
          <w:rStyle w:val="normaltextrun"/>
        </w:rPr>
        <w:t>hav</w:t>
      </w:r>
      <w:r w:rsidR="00361BB7">
        <w:rPr>
          <w:rStyle w:val="normaltextrun"/>
        </w:rPr>
        <w:t>ing</w:t>
      </w:r>
      <w:r w:rsidRPr="00C360A6">
        <w:rPr>
          <w:rStyle w:val="normaltextrun"/>
        </w:rPr>
        <w:t xml:space="preserve"> opportunities to develop technology skills and knowledge, and </w:t>
      </w:r>
      <w:r w:rsidR="000B26EC" w:rsidRPr="00C360A6">
        <w:rPr>
          <w:rStyle w:val="normaltextrun"/>
        </w:rPr>
        <w:t xml:space="preserve">to </w:t>
      </w:r>
      <w:r w:rsidRPr="00C360A6">
        <w:rPr>
          <w:rStyle w:val="normaltextrun"/>
        </w:rPr>
        <w:t>access technology</w:t>
      </w:r>
    </w:p>
    <w:p w14:paraId="1C0311A2" w14:textId="505E0FA4" w:rsidR="009E6793" w:rsidRPr="00C360A6" w:rsidRDefault="009E6793" w:rsidP="006F4C32">
      <w:pPr>
        <w:pStyle w:val="Bullet2"/>
        <w:rPr>
          <w:rStyle w:val="normaltextrun"/>
        </w:rPr>
      </w:pPr>
      <w:r w:rsidRPr="00C360A6">
        <w:rPr>
          <w:rStyle w:val="normaltextrun"/>
        </w:rPr>
        <w:t>provided with alternatives to online platforms for information and services.</w:t>
      </w:r>
    </w:p>
    <w:p w14:paraId="600BB5DD" w14:textId="77777777" w:rsidR="007E500D" w:rsidRPr="00C360A6" w:rsidRDefault="009E6793" w:rsidP="00B743FD">
      <w:pPr>
        <w:pStyle w:val="Numberdigit"/>
        <w:rPr>
          <w:rStyle w:val="normaltextrun"/>
        </w:rPr>
      </w:pPr>
      <w:r w:rsidRPr="00C360A6">
        <w:rPr>
          <w:rStyle w:val="normaltextrun"/>
          <w:b/>
          <w:bCs/>
        </w:rPr>
        <w:t>Safe and secure at home and financially</w:t>
      </w:r>
      <w:r w:rsidRPr="00C360A6">
        <w:rPr>
          <w:rStyle w:val="normaltextrun"/>
        </w:rPr>
        <w:t xml:space="preserve"> </w:t>
      </w:r>
    </w:p>
    <w:p w14:paraId="1D2DAB71" w14:textId="087B7A56" w:rsidR="007E500D" w:rsidRPr="00C360A6" w:rsidRDefault="009E6793" w:rsidP="007E500D">
      <w:pPr>
        <w:pStyle w:val="Bullet2"/>
        <w:rPr>
          <w:rStyle w:val="normaltextrun"/>
        </w:rPr>
      </w:pPr>
      <w:r w:rsidRPr="00C360A6">
        <w:rPr>
          <w:rStyle w:val="normaltextrun"/>
          <w:rFonts w:cs="Calibri"/>
        </w:rPr>
        <w:t>having</w:t>
      </w:r>
      <w:r w:rsidRPr="00C360A6">
        <w:rPr>
          <w:rStyle w:val="normaltextrun"/>
        </w:rPr>
        <w:t xml:space="preserve"> the </w:t>
      </w:r>
      <w:r w:rsidRPr="00C360A6">
        <w:rPr>
          <w:rStyle w:val="normaltextrun"/>
          <w:rFonts w:cs="Calibri"/>
        </w:rPr>
        <w:t>right</w:t>
      </w:r>
      <w:r w:rsidRPr="00C360A6">
        <w:rPr>
          <w:rStyle w:val="normaltextrun"/>
        </w:rPr>
        <w:t xml:space="preserve"> </w:t>
      </w:r>
      <w:r w:rsidRPr="00C360A6">
        <w:rPr>
          <w:rStyle w:val="normaltextrun"/>
          <w:rFonts w:cs="Calibri"/>
        </w:rPr>
        <w:t>housing</w:t>
      </w:r>
      <w:r w:rsidRPr="00C360A6">
        <w:rPr>
          <w:rStyle w:val="normaltextrun"/>
        </w:rPr>
        <w:t xml:space="preserve"> at the right time in the right place</w:t>
      </w:r>
    </w:p>
    <w:p w14:paraId="12E90436" w14:textId="0410E414" w:rsidR="007E500D" w:rsidRPr="00C360A6" w:rsidRDefault="009E6793" w:rsidP="007E500D">
      <w:pPr>
        <w:pStyle w:val="Bullet2"/>
        <w:rPr>
          <w:rStyle w:val="normaltextrun"/>
        </w:rPr>
      </w:pPr>
      <w:r w:rsidRPr="00C360A6">
        <w:rPr>
          <w:rStyle w:val="normaltextrun"/>
        </w:rPr>
        <w:t>able to age in place with the right supports</w:t>
      </w:r>
    </w:p>
    <w:p w14:paraId="1D10CF49" w14:textId="170A7489" w:rsidR="007E500D" w:rsidRPr="00C360A6" w:rsidRDefault="009E6793" w:rsidP="007E500D">
      <w:pPr>
        <w:pStyle w:val="Bullet2"/>
        <w:rPr>
          <w:rStyle w:val="normaltextrun"/>
        </w:rPr>
      </w:pPr>
      <w:r w:rsidRPr="00C360A6">
        <w:rPr>
          <w:rStyle w:val="normaltextrun"/>
        </w:rPr>
        <w:t>able to supplement income through work</w:t>
      </w:r>
    </w:p>
    <w:p w14:paraId="1949DF31" w14:textId="07257820" w:rsidR="007E500D" w:rsidRPr="00C360A6" w:rsidRDefault="009E6793" w:rsidP="007E500D">
      <w:pPr>
        <w:pStyle w:val="Bullet2"/>
        <w:rPr>
          <w:rStyle w:val="normaltextrun"/>
        </w:rPr>
      </w:pPr>
      <w:r w:rsidRPr="00C360A6">
        <w:rPr>
          <w:rStyle w:val="normaltextrun"/>
        </w:rPr>
        <w:t>able to afford accommodation and utilities costs</w:t>
      </w:r>
    </w:p>
    <w:p w14:paraId="040516DE" w14:textId="437E1A9F" w:rsidR="007E500D" w:rsidRPr="00C360A6" w:rsidRDefault="009E6793" w:rsidP="007E500D">
      <w:pPr>
        <w:pStyle w:val="Bullet2"/>
        <w:rPr>
          <w:rStyle w:val="normaltextrun"/>
        </w:rPr>
      </w:pPr>
      <w:r w:rsidRPr="00C360A6">
        <w:rPr>
          <w:rStyle w:val="normaltextrun"/>
        </w:rPr>
        <w:t>having access to a wide range of discounts for seniors</w:t>
      </w:r>
    </w:p>
    <w:p w14:paraId="71D4169B" w14:textId="57D02C0A" w:rsidR="007E500D" w:rsidRPr="00C360A6" w:rsidRDefault="009E6793" w:rsidP="007E500D">
      <w:pPr>
        <w:pStyle w:val="Bullet2"/>
        <w:rPr>
          <w:rStyle w:val="normaltextrun"/>
        </w:rPr>
      </w:pPr>
      <w:r w:rsidRPr="00C360A6">
        <w:rPr>
          <w:rStyle w:val="normaltextrun"/>
        </w:rPr>
        <w:t>feeling safe at home and in the community, particularly at night</w:t>
      </w:r>
    </w:p>
    <w:p w14:paraId="61968198" w14:textId="68365326" w:rsidR="007E500D" w:rsidRPr="00C360A6" w:rsidRDefault="009E6793" w:rsidP="007E500D">
      <w:pPr>
        <w:pStyle w:val="Bullet2"/>
        <w:rPr>
          <w:rStyle w:val="normaltextrun"/>
        </w:rPr>
      </w:pPr>
      <w:r w:rsidRPr="00C360A6">
        <w:rPr>
          <w:rStyle w:val="normaltextrun"/>
        </w:rPr>
        <w:t>having the right support to manage family relationship stress and elder abuse</w:t>
      </w:r>
    </w:p>
    <w:p w14:paraId="2B8AF4F5" w14:textId="0D582B45" w:rsidR="007E500D" w:rsidRPr="00C360A6" w:rsidRDefault="009E6793" w:rsidP="007E500D">
      <w:pPr>
        <w:pStyle w:val="Bullet2"/>
        <w:rPr>
          <w:rStyle w:val="normaltextrun"/>
        </w:rPr>
      </w:pPr>
      <w:r w:rsidRPr="00C360A6">
        <w:rPr>
          <w:rStyle w:val="normaltextrun"/>
        </w:rPr>
        <w:t>able to access free and low</w:t>
      </w:r>
      <w:r w:rsidR="0045352B" w:rsidRPr="00C360A6">
        <w:rPr>
          <w:rStyle w:val="normaltextrun"/>
        </w:rPr>
        <w:t>-</w:t>
      </w:r>
      <w:r w:rsidRPr="00C360A6">
        <w:rPr>
          <w:rStyle w:val="normaltextrun"/>
        </w:rPr>
        <w:t>cost social activities</w:t>
      </w:r>
    </w:p>
    <w:p w14:paraId="3CC838DC" w14:textId="314E7FD6" w:rsidR="009E6793" w:rsidRPr="00C360A6" w:rsidRDefault="009E6793" w:rsidP="006F4C32">
      <w:pPr>
        <w:pStyle w:val="Bullet2"/>
        <w:rPr>
          <w:rStyle w:val="normaltextrun"/>
        </w:rPr>
      </w:pPr>
      <w:r w:rsidRPr="00C360A6">
        <w:rPr>
          <w:rStyle w:val="normaltextrun"/>
        </w:rPr>
        <w:t>able to undertake life planning and have decisions respected and supported.</w:t>
      </w:r>
    </w:p>
    <w:p w14:paraId="7C0878BB" w14:textId="77777777" w:rsidR="007E500D" w:rsidRPr="00C360A6" w:rsidRDefault="009E6793" w:rsidP="00B743FD">
      <w:pPr>
        <w:pStyle w:val="Numberdigit"/>
        <w:rPr>
          <w:rStyle w:val="normaltextrun"/>
        </w:rPr>
      </w:pPr>
      <w:r w:rsidRPr="00C360A6">
        <w:rPr>
          <w:rStyle w:val="normaltextrun"/>
          <w:b/>
          <w:bCs/>
        </w:rPr>
        <w:t>Able to manage health issues including mental health</w:t>
      </w:r>
      <w:r w:rsidRPr="00C360A6">
        <w:rPr>
          <w:rStyle w:val="normaltextrun"/>
        </w:rPr>
        <w:t xml:space="preserve"> </w:t>
      </w:r>
    </w:p>
    <w:p w14:paraId="1B6EE347" w14:textId="0739B10C" w:rsidR="007E500D" w:rsidRPr="00C360A6" w:rsidRDefault="009E6793" w:rsidP="007E500D">
      <w:pPr>
        <w:pStyle w:val="Bullet2"/>
        <w:rPr>
          <w:rStyle w:val="normaltextrun"/>
        </w:rPr>
      </w:pPr>
      <w:r w:rsidRPr="00C360A6">
        <w:rPr>
          <w:rStyle w:val="normaltextrun"/>
        </w:rPr>
        <w:t>able to access services and support when needed</w:t>
      </w:r>
    </w:p>
    <w:p w14:paraId="66FB8CB6" w14:textId="4B49D7ED" w:rsidR="007E500D" w:rsidRPr="00C360A6" w:rsidRDefault="009E6793" w:rsidP="007E500D">
      <w:pPr>
        <w:pStyle w:val="Bullet2"/>
        <w:rPr>
          <w:rStyle w:val="normaltextrun"/>
        </w:rPr>
      </w:pPr>
      <w:r w:rsidRPr="00C360A6">
        <w:rPr>
          <w:rStyle w:val="normaltextrun"/>
        </w:rPr>
        <w:t>actively managing health conditions</w:t>
      </w:r>
    </w:p>
    <w:p w14:paraId="79C18FD5" w14:textId="3B25C9DD" w:rsidR="007E500D" w:rsidRPr="00C360A6" w:rsidRDefault="009E6793" w:rsidP="007E500D">
      <w:pPr>
        <w:pStyle w:val="Bullet2"/>
        <w:rPr>
          <w:rStyle w:val="normaltextrun"/>
        </w:rPr>
      </w:pPr>
      <w:r w:rsidRPr="00C360A6">
        <w:rPr>
          <w:rStyle w:val="normaltextrun"/>
        </w:rPr>
        <w:t xml:space="preserve">able to </w:t>
      </w:r>
      <w:r w:rsidRPr="00C360A6">
        <w:rPr>
          <w:rStyle w:val="normaltextrun"/>
          <w:rFonts w:cs="Calibri"/>
        </w:rPr>
        <w:t>exercise</w:t>
      </w:r>
      <w:r w:rsidRPr="00C360A6">
        <w:rPr>
          <w:rStyle w:val="normaltextrun"/>
        </w:rPr>
        <w:t xml:space="preserve"> and maintain good nutrition and a healthy diet</w:t>
      </w:r>
    </w:p>
    <w:p w14:paraId="4CA7898B" w14:textId="33BE05E4" w:rsidR="007E500D" w:rsidRPr="00C360A6" w:rsidRDefault="009E6793" w:rsidP="007E500D">
      <w:pPr>
        <w:pStyle w:val="Bullet2"/>
        <w:rPr>
          <w:rStyle w:val="normaltextrun"/>
        </w:rPr>
      </w:pPr>
      <w:r w:rsidRPr="00C360A6">
        <w:rPr>
          <w:rStyle w:val="normaltextrun"/>
        </w:rPr>
        <w:t>having access to recreation and sporting facilities</w:t>
      </w:r>
    </w:p>
    <w:p w14:paraId="18640961" w14:textId="1BF4D72B" w:rsidR="007E500D" w:rsidRPr="00C360A6" w:rsidRDefault="009E6793" w:rsidP="007E500D">
      <w:pPr>
        <w:pStyle w:val="Bullet2"/>
        <w:rPr>
          <w:rStyle w:val="normaltextrun"/>
        </w:rPr>
      </w:pPr>
      <w:r w:rsidRPr="00C360A6">
        <w:rPr>
          <w:rStyle w:val="normaltextrun"/>
        </w:rPr>
        <w:t>having the knowledge and information to access support and services, particularly mental health services</w:t>
      </w:r>
    </w:p>
    <w:p w14:paraId="683A34EC" w14:textId="67A0A197" w:rsidR="009E6793" w:rsidRPr="00C360A6" w:rsidRDefault="009E6793" w:rsidP="006F4C32">
      <w:pPr>
        <w:pStyle w:val="Bullet2"/>
        <w:rPr>
          <w:rStyle w:val="normaltextrun"/>
        </w:rPr>
      </w:pPr>
      <w:r w:rsidRPr="00C360A6">
        <w:rPr>
          <w:rStyle w:val="normaltextrun"/>
        </w:rPr>
        <w:t xml:space="preserve">having health needs, including mental health needs, </w:t>
      </w:r>
      <w:proofErr w:type="gramStart"/>
      <w:r w:rsidRPr="00C360A6">
        <w:rPr>
          <w:rStyle w:val="normaltextrun"/>
        </w:rPr>
        <w:t>recognised</w:t>
      </w:r>
      <w:proofErr w:type="gramEnd"/>
      <w:r w:rsidRPr="00C360A6">
        <w:rPr>
          <w:rStyle w:val="normaltextrun"/>
        </w:rPr>
        <w:t xml:space="preserve"> and responded to.</w:t>
      </w:r>
    </w:p>
    <w:p w14:paraId="7D62BD88" w14:textId="77777777" w:rsidR="007E500D" w:rsidRPr="00C360A6" w:rsidRDefault="009E6793" w:rsidP="00B743FD">
      <w:pPr>
        <w:pStyle w:val="Numberdigit"/>
        <w:rPr>
          <w:rStyle w:val="normaltextrun"/>
        </w:rPr>
      </w:pPr>
      <w:r w:rsidRPr="00C360A6">
        <w:rPr>
          <w:rStyle w:val="normaltextrun"/>
          <w:b/>
          <w:bCs/>
        </w:rPr>
        <w:t>Able to get around</w:t>
      </w:r>
      <w:r w:rsidRPr="00C360A6">
        <w:rPr>
          <w:rStyle w:val="normaltextrun"/>
        </w:rPr>
        <w:t xml:space="preserve"> </w:t>
      </w:r>
    </w:p>
    <w:p w14:paraId="46374642" w14:textId="69E4D4F2" w:rsidR="007E500D" w:rsidRPr="00C360A6" w:rsidRDefault="009E6793" w:rsidP="007E500D">
      <w:pPr>
        <w:pStyle w:val="Bullet2"/>
        <w:rPr>
          <w:rStyle w:val="normaltextrun"/>
        </w:rPr>
      </w:pPr>
      <w:r w:rsidRPr="00C360A6">
        <w:rPr>
          <w:rStyle w:val="normaltextrun"/>
          <w:rFonts w:cs="Calibri"/>
        </w:rPr>
        <w:t>having</w:t>
      </w:r>
      <w:r w:rsidRPr="00C360A6">
        <w:rPr>
          <w:rStyle w:val="normaltextrun"/>
        </w:rPr>
        <w:t xml:space="preserve"> access </w:t>
      </w:r>
      <w:r w:rsidR="00DC7E83" w:rsidRPr="00C360A6">
        <w:rPr>
          <w:rStyle w:val="normaltextrun"/>
        </w:rPr>
        <w:t xml:space="preserve">to </w:t>
      </w:r>
      <w:r w:rsidRPr="00C360A6">
        <w:rPr>
          <w:rStyle w:val="normaltextrun"/>
        </w:rPr>
        <w:t>cost-effective local community transport services, particularly after giving up a driver’s licence</w:t>
      </w:r>
    </w:p>
    <w:p w14:paraId="4F5E8E3B" w14:textId="0C9F5FB0" w:rsidR="007E500D" w:rsidRPr="00C360A6" w:rsidRDefault="009E6793" w:rsidP="007E500D">
      <w:pPr>
        <w:pStyle w:val="Bullet2"/>
        <w:rPr>
          <w:rStyle w:val="normaltextrun"/>
        </w:rPr>
      </w:pPr>
      <w:r w:rsidRPr="00C360A6">
        <w:rPr>
          <w:rStyle w:val="normaltextrun"/>
        </w:rPr>
        <w:t xml:space="preserve">having access to parking and safe carparks, including </w:t>
      </w:r>
      <w:r w:rsidR="000B26EC" w:rsidRPr="00C360A6">
        <w:rPr>
          <w:rStyle w:val="normaltextrun"/>
        </w:rPr>
        <w:t>select</w:t>
      </w:r>
      <w:r w:rsidRPr="00C360A6">
        <w:rPr>
          <w:rStyle w:val="normaltextrun"/>
        </w:rPr>
        <w:t xml:space="preserve"> parking for seniors, </w:t>
      </w:r>
      <w:proofErr w:type="gramStart"/>
      <w:r w:rsidRPr="00C360A6">
        <w:rPr>
          <w:rStyle w:val="normaltextrun"/>
        </w:rPr>
        <w:t>carers</w:t>
      </w:r>
      <w:proofErr w:type="gramEnd"/>
      <w:r w:rsidRPr="00C360A6">
        <w:rPr>
          <w:rStyle w:val="normaltextrun"/>
        </w:rPr>
        <w:t xml:space="preserve"> and disability</w:t>
      </w:r>
    </w:p>
    <w:p w14:paraId="1C0D3C3F" w14:textId="4186AE69" w:rsidR="009E6793" w:rsidRPr="00C360A6" w:rsidRDefault="009E6793" w:rsidP="006F4C32">
      <w:pPr>
        <w:pStyle w:val="Bullet2"/>
        <w:rPr>
          <w:rStyle w:val="normaltextrun"/>
        </w:rPr>
      </w:pPr>
      <w:r w:rsidRPr="00C360A6">
        <w:rPr>
          <w:rStyle w:val="normaltextrun"/>
        </w:rPr>
        <w:lastRenderedPageBreak/>
        <w:t>having an age-friendly built environment</w:t>
      </w:r>
      <w:r w:rsidR="0045352B" w:rsidRPr="00C360A6">
        <w:rPr>
          <w:rStyle w:val="normaltextrun"/>
        </w:rPr>
        <w:t xml:space="preserve"> –</w:t>
      </w:r>
      <w:r w:rsidRPr="00C360A6">
        <w:rPr>
          <w:rStyle w:val="normaltextrun"/>
        </w:rPr>
        <w:t xml:space="preserve"> for example, with pedestrian crossings and footpaths suitable for those using </w:t>
      </w:r>
      <w:r w:rsidR="00AD1E16">
        <w:rPr>
          <w:rStyle w:val="normaltextrun"/>
        </w:rPr>
        <w:t>mobility</w:t>
      </w:r>
      <w:r w:rsidR="00AD1E16" w:rsidRPr="00C360A6">
        <w:rPr>
          <w:rStyle w:val="normaltextrun"/>
        </w:rPr>
        <w:t xml:space="preserve"> </w:t>
      </w:r>
      <w:r w:rsidRPr="00C360A6">
        <w:rPr>
          <w:rStyle w:val="normaltextrun"/>
        </w:rPr>
        <w:t>aids.</w:t>
      </w:r>
    </w:p>
    <w:p w14:paraId="25720182" w14:textId="77777777" w:rsidR="00B743FD" w:rsidRPr="00C360A6" w:rsidRDefault="00B743FD" w:rsidP="0053739A">
      <w:pPr>
        <w:pStyle w:val="Body"/>
        <w:rPr>
          <w:rFonts w:eastAsia="MS Gothic" w:cs="Arial"/>
          <w:color w:val="201547"/>
          <w:kern w:val="32"/>
          <w:sz w:val="44"/>
          <w:szCs w:val="44"/>
        </w:rPr>
      </w:pPr>
      <w:r w:rsidRPr="00C360A6">
        <w:br w:type="page"/>
      </w:r>
    </w:p>
    <w:p w14:paraId="42CCEFB0" w14:textId="7C0260EC" w:rsidR="009E6793" w:rsidRPr="00C360A6" w:rsidRDefault="009E6793" w:rsidP="00B743FD">
      <w:pPr>
        <w:pStyle w:val="Heading1"/>
      </w:pPr>
      <w:bookmarkStart w:id="16" w:name="_Toc104995715"/>
      <w:bookmarkStart w:id="17" w:name="_Toc107246679"/>
      <w:r w:rsidRPr="00C360A6">
        <w:lastRenderedPageBreak/>
        <w:t>Addressing the impacts of the COVID-19 pandemic</w:t>
      </w:r>
      <w:bookmarkEnd w:id="16"/>
      <w:bookmarkEnd w:id="17"/>
    </w:p>
    <w:p w14:paraId="6A2625F6" w14:textId="0DDCA83F" w:rsidR="00BA0164" w:rsidRPr="00C360A6" w:rsidRDefault="00BA0164" w:rsidP="00B743FD">
      <w:pPr>
        <w:pStyle w:val="Body"/>
      </w:pPr>
      <w:r w:rsidRPr="00C360A6">
        <w:t>In preparing this action plan, m</w:t>
      </w:r>
      <w:r w:rsidR="009E6793" w:rsidRPr="00C360A6">
        <w:t xml:space="preserve">ore than 5,000 older Victorians took part in </w:t>
      </w:r>
      <w:r w:rsidRPr="00C360A6">
        <w:t xml:space="preserve">a </w:t>
      </w:r>
      <w:r w:rsidR="009E6793" w:rsidRPr="00C360A6">
        <w:t>2019 survey</w:t>
      </w:r>
      <w:r w:rsidRPr="00C360A6">
        <w:t>. One thousand</w:t>
      </w:r>
      <w:r w:rsidR="009E6793" w:rsidRPr="00C360A6" w:rsidDel="003A700A">
        <w:t xml:space="preserve"> </w:t>
      </w:r>
      <w:r w:rsidRPr="00C360A6">
        <w:t xml:space="preserve">older people got involved in </w:t>
      </w:r>
      <w:r w:rsidR="009E6793" w:rsidRPr="00C360A6">
        <w:t xml:space="preserve">in-person consultations </w:t>
      </w:r>
      <w:r w:rsidRPr="00C360A6">
        <w:t xml:space="preserve">with </w:t>
      </w:r>
      <w:r w:rsidR="009E6793" w:rsidRPr="00C360A6">
        <w:t xml:space="preserve">the Commissioner for Senior Victorians in 2021. </w:t>
      </w:r>
      <w:r w:rsidRPr="00C360A6">
        <w:t xml:space="preserve">This lived experience and these voices informed the action plan. </w:t>
      </w:r>
    </w:p>
    <w:p w14:paraId="637B2770" w14:textId="78E06A32" w:rsidR="00BA0164" w:rsidRPr="00C360A6" w:rsidRDefault="009E6793" w:rsidP="00B743FD">
      <w:pPr>
        <w:pStyle w:val="Body"/>
      </w:pPr>
      <w:r w:rsidRPr="00770924">
        <w:t>The</w:t>
      </w:r>
      <w:r w:rsidR="00BA0164" w:rsidRPr="00770924">
        <w:t xml:space="preserve"> </w:t>
      </w:r>
      <w:r w:rsidR="00C83552" w:rsidRPr="00770924">
        <w:t>la</w:t>
      </w:r>
      <w:r w:rsidR="00770924" w:rsidRPr="00770924">
        <w:t>t</w:t>
      </w:r>
      <w:r w:rsidR="00C83552" w:rsidRPr="00770924">
        <w:t xml:space="preserve">ter </w:t>
      </w:r>
      <w:r w:rsidR="008F2EA2" w:rsidRPr="00770924">
        <w:t>research</w:t>
      </w:r>
      <w:r w:rsidR="00BE663E" w:rsidRPr="00770924">
        <w:t xml:space="preserve"> </w:t>
      </w:r>
      <w:r w:rsidRPr="00770924">
        <w:t xml:space="preserve">focused on experiences </w:t>
      </w:r>
      <w:r w:rsidR="00BA0164" w:rsidRPr="00770924">
        <w:t xml:space="preserve">during </w:t>
      </w:r>
      <w:r w:rsidRPr="00770924">
        <w:t xml:space="preserve">the COVID-19 pandemic. </w:t>
      </w:r>
      <w:r w:rsidR="00BA0164" w:rsidRPr="00770924">
        <w:t>Several</w:t>
      </w:r>
      <w:r w:rsidRPr="00C360A6">
        <w:t xml:space="preserve"> positive outcomes </w:t>
      </w:r>
      <w:r w:rsidR="00BA0164" w:rsidRPr="00C360A6">
        <w:t xml:space="preserve">were </w:t>
      </w:r>
      <w:r w:rsidRPr="00C360A6">
        <w:t>reported</w:t>
      </w:r>
      <w:r w:rsidR="00BA0164" w:rsidRPr="00C360A6">
        <w:t>. These included that</w:t>
      </w:r>
      <w:r w:rsidRPr="00C360A6">
        <w:t xml:space="preserve"> older people</w:t>
      </w:r>
      <w:r w:rsidR="00BA0164" w:rsidRPr="00C360A6">
        <w:t>:</w:t>
      </w:r>
    </w:p>
    <w:p w14:paraId="1582542F" w14:textId="50323D97" w:rsidR="00BA0164" w:rsidRPr="00C360A6" w:rsidRDefault="009E6793" w:rsidP="006F4C32">
      <w:pPr>
        <w:pStyle w:val="Bullet1"/>
      </w:pPr>
      <w:r w:rsidRPr="00C360A6">
        <w:t>became more visible</w:t>
      </w:r>
    </w:p>
    <w:p w14:paraId="2DEB11A2" w14:textId="77777777" w:rsidR="00BA0164" w:rsidRPr="00C360A6" w:rsidRDefault="00BA0164" w:rsidP="006F4C32">
      <w:pPr>
        <w:pStyle w:val="Bullet1"/>
      </w:pPr>
      <w:r w:rsidRPr="00C360A6">
        <w:t xml:space="preserve">were </w:t>
      </w:r>
      <w:r w:rsidR="009E6793" w:rsidRPr="00C360A6">
        <w:t>more were motivated to get online to keep in touch with families</w:t>
      </w:r>
    </w:p>
    <w:p w14:paraId="31B05FCF" w14:textId="60440F14" w:rsidR="00121F42" w:rsidRPr="00C360A6" w:rsidRDefault="00121F42" w:rsidP="006F4C32">
      <w:pPr>
        <w:pStyle w:val="Bullet1"/>
      </w:pPr>
      <w:r w:rsidRPr="00C360A6">
        <w:t xml:space="preserve">found </w:t>
      </w:r>
      <w:r w:rsidR="009E6793" w:rsidRPr="00C360A6">
        <w:t>neighbours and strangers more friendly and supportive</w:t>
      </w:r>
      <w:r w:rsidRPr="00C360A6">
        <w:t>.</w:t>
      </w:r>
    </w:p>
    <w:p w14:paraId="4B14129F" w14:textId="3F76A37E" w:rsidR="009E6793" w:rsidRPr="00C360A6" w:rsidRDefault="00121F42" w:rsidP="006F4C32">
      <w:pPr>
        <w:pStyle w:val="Bodyafterbullets"/>
      </w:pPr>
      <w:r w:rsidRPr="00770924">
        <w:t xml:space="preserve">On the other hand, </w:t>
      </w:r>
      <w:r w:rsidR="009E6793" w:rsidRPr="00770924">
        <w:t>those who were already lonely and those in aged care had their loneliness magnified. Many older people reported declines in physical and mental health. Many spoke of uncertainty about the future and being unable to make plans.</w:t>
      </w:r>
    </w:p>
    <w:p w14:paraId="5C1B35E0" w14:textId="3005FBDE" w:rsidR="009E6793" w:rsidRPr="00C360A6" w:rsidRDefault="00DD636B" w:rsidP="00B743FD">
      <w:pPr>
        <w:pStyle w:val="Body"/>
      </w:pPr>
      <w:r w:rsidRPr="00C360A6">
        <w:t>Some viewed g</w:t>
      </w:r>
      <w:r w:rsidR="009E6793" w:rsidRPr="00C360A6">
        <w:t xml:space="preserve">overnment messaging and media coverage on the pandemic as ageist and reinforcing ageist stereotypes. Ageist attitudes </w:t>
      </w:r>
      <w:r w:rsidR="00BD4BC9">
        <w:t>that cast</w:t>
      </w:r>
      <w:r w:rsidR="009E6793" w:rsidRPr="00C360A6">
        <w:t xml:space="preserve"> older people as out of touch, forgetful or worthless </w:t>
      </w:r>
      <w:r w:rsidRPr="00C360A6">
        <w:t xml:space="preserve">worsened during </w:t>
      </w:r>
      <w:r w:rsidR="009E6793" w:rsidRPr="00C360A6">
        <w:t xml:space="preserve">the pandemic. </w:t>
      </w:r>
      <w:r w:rsidRPr="00C360A6">
        <w:t>Some</w:t>
      </w:r>
      <w:r w:rsidR="009E6793" w:rsidRPr="00C360A6">
        <w:t xml:space="preserve"> media commentary framed the COVID-19 response as a ‘health vs the economy’ debate</w:t>
      </w:r>
      <w:r w:rsidRPr="00C360A6">
        <w:t xml:space="preserve">. This positioned </w:t>
      </w:r>
      <w:r w:rsidR="009E6793" w:rsidRPr="00C360A6">
        <w:t xml:space="preserve">the wellbeing of older people as secondary to the needs of the economy. </w:t>
      </w:r>
    </w:p>
    <w:p w14:paraId="1AEEC398" w14:textId="7138B508" w:rsidR="009E6793" w:rsidRPr="00C360A6" w:rsidRDefault="009E6793" w:rsidP="00B743FD">
      <w:pPr>
        <w:pStyle w:val="Body"/>
      </w:pPr>
      <w:r w:rsidRPr="00C360A6">
        <w:t xml:space="preserve">Even now, with a highly vaccinated population, many older people are wary of contracting COVID-19. Because they have a higher risk of serious illness and death, they are limiting activities such as exercise, social </w:t>
      </w:r>
      <w:proofErr w:type="gramStart"/>
      <w:r w:rsidRPr="00C360A6">
        <w:t>engagements</w:t>
      </w:r>
      <w:proofErr w:type="gramEnd"/>
      <w:r w:rsidRPr="00C360A6">
        <w:t xml:space="preserve"> and gatherings in groups. Some are delaying medical attention.</w:t>
      </w:r>
    </w:p>
    <w:p w14:paraId="039D98A3" w14:textId="37C1FF7F" w:rsidR="00791120" w:rsidRPr="00C360A6" w:rsidRDefault="00DC7E83" w:rsidP="00B743FD">
      <w:pPr>
        <w:pStyle w:val="Body"/>
      </w:pPr>
      <w:r w:rsidRPr="00C360A6">
        <w:t>COVID-19 has heightened m</w:t>
      </w:r>
      <w:r w:rsidR="009E6793" w:rsidRPr="00C360A6">
        <w:t xml:space="preserve">any issues </w:t>
      </w:r>
      <w:r w:rsidR="00791120" w:rsidRPr="00C360A6">
        <w:t>that</w:t>
      </w:r>
      <w:r w:rsidR="009E6793" w:rsidRPr="00C360A6">
        <w:t xml:space="preserve"> the Commissioner </w:t>
      </w:r>
      <w:r w:rsidR="00791120" w:rsidRPr="00C360A6">
        <w:t xml:space="preserve">identified </w:t>
      </w:r>
      <w:r w:rsidR="009E6793" w:rsidRPr="00C360A6">
        <w:t>as barriers to ageing well, particularly</w:t>
      </w:r>
      <w:r w:rsidR="00791120" w:rsidRPr="00C360A6">
        <w:t>:</w:t>
      </w:r>
      <w:r w:rsidR="009E6793" w:rsidRPr="00C360A6">
        <w:t xml:space="preserve"> </w:t>
      </w:r>
    </w:p>
    <w:p w14:paraId="6DF40C24" w14:textId="28737DB6" w:rsidR="00791120" w:rsidRPr="00C360A6" w:rsidRDefault="009E6793" w:rsidP="006F4C32">
      <w:pPr>
        <w:pStyle w:val="Bullet1"/>
      </w:pPr>
      <w:r w:rsidRPr="00C360A6">
        <w:t>loneliness and isolation</w:t>
      </w:r>
    </w:p>
    <w:p w14:paraId="2A9446AB" w14:textId="318C67C5" w:rsidR="00791120" w:rsidRPr="00C360A6" w:rsidRDefault="009E6793" w:rsidP="006F4C32">
      <w:pPr>
        <w:pStyle w:val="Bullet1"/>
      </w:pPr>
      <w:r w:rsidRPr="00C360A6">
        <w:t>ageist attitudes</w:t>
      </w:r>
    </w:p>
    <w:p w14:paraId="54D2634D" w14:textId="3FA7FCA6" w:rsidR="009E6793" w:rsidRPr="00C360A6" w:rsidRDefault="009E6793" w:rsidP="006F4C32">
      <w:pPr>
        <w:pStyle w:val="Bullet1"/>
      </w:pPr>
      <w:r w:rsidRPr="00C360A6">
        <w:t xml:space="preserve">difficulty accessing services, particularly online services. </w:t>
      </w:r>
    </w:p>
    <w:p w14:paraId="0E1A1C7D" w14:textId="77777777" w:rsidR="00B743FD" w:rsidRPr="00C360A6" w:rsidRDefault="00B743FD" w:rsidP="0053739A">
      <w:pPr>
        <w:pStyle w:val="Body"/>
        <w:rPr>
          <w:color w:val="201547"/>
          <w:szCs w:val="28"/>
        </w:rPr>
      </w:pPr>
      <w:r w:rsidRPr="00C360A6">
        <w:br w:type="page"/>
      </w:r>
    </w:p>
    <w:p w14:paraId="26386CF2" w14:textId="2631156C" w:rsidR="009E6793" w:rsidRPr="00C360A6" w:rsidRDefault="009E6793" w:rsidP="00B743FD">
      <w:pPr>
        <w:pStyle w:val="Heading1"/>
      </w:pPr>
      <w:bookmarkStart w:id="18" w:name="_Toc104995716"/>
      <w:bookmarkStart w:id="19" w:name="_Toc107246680"/>
      <w:r w:rsidRPr="00C360A6">
        <w:lastRenderedPageBreak/>
        <w:t xml:space="preserve">What </w:t>
      </w:r>
      <w:r w:rsidR="00E12068" w:rsidRPr="00C360A6">
        <w:t>g</w:t>
      </w:r>
      <w:r w:rsidRPr="00C360A6">
        <w:t xml:space="preserve">overnment will do – Ageing </w:t>
      </w:r>
      <w:r w:rsidR="00E12068" w:rsidRPr="00C360A6">
        <w:t>w</w:t>
      </w:r>
      <w:r w:rsidRPr="00C360A6">
        <w:t xml:space="preserve">ell in Victoria </w:t>
      </w:r>
      <w:r w:rsidR="00E12068" w:rsidRPr="00C360A6">
        <w:t>a</w:t>
      </w:r>
      <w:r w:rsidRPr="00C360A6">
        <w:t xml:space="preserve">ction </w:t>
      </w:r>
      <w:r w:rsidR="00E12068" w:rsidRPr="00C360A6">
        <w:t>p</w:t>
      </w:r>
      <w:r w:rsidRPr="00C360A6">
        <w:t>lan</w:t>
      </w:r>
      <w:bookmarkEnd w:id="18"/>
      <w:bookmarkEnd w:id="19"/>
    </w:p>
    <w:p w14:paraId="5DB84FF0" w14:textId="77777777" w:rsidR="009E6793" w:rsidRPr="00C360A6" w:rsidRDefault="009E6793" w:rsidP="00B743FD">
      <w:pPr>
        <w:pStyle w:val="Heading2"/>
      </w:pPr>
      <w:bookmarkStart w:id="20" w:name="_Toc104995717"/>
      <w:bookmarkStart w:id="21" w:name="_Toc107246681"/>
      <w:r w:rsidRPr="00C360A6">
        <w:t>Action areas</w:t>
      </w:r>
      <w:bookmarkEnd w:id="20"/>
      <w:bookmarkEnd w:id="21"/>
    </w:p>
    <w:p w14:paraId="02DF83BB" w14:textId="4EA62D7D" w:rsidR="009E6793" w:rsidRPr="00C360A6" w:rsidRDefault="009E6793" w:rsidP="0053739A">
      <w:pPr>
        <w:pStyle w:val="Body"/>
      </w:pPr>
      <w:r w:rsidRPr="00C360A6">
        <w:t xml:space="preserve">To address the priority issues of older people, the </w:t>
      </w:r>
      <w:r w:rsidR="008D67C6" w:rsidRPr="00C360A6">
        <w:t>g</w:t>
      </w:r>
      <w:r w:rsidRPr="00C360A6">
        <w:t xml:space="preserve">overnment </w:t>
      </w:r>
      <w:r w:rsidR="008D67C6" w:rsidRPr="00C360A6">
        <w:t>will</w:t>
      </w:r>
      <w:r w:rsidRPr="00C360A6">
        <w:t xml:space="preserve"> deliver on </w:t>
      </w:r>
      <w:r w:rsidR="008D67C6" w:rsidRPr="00C360A6">
        <w:t>this</w:t>
      </w:r>
      <w:r w:rsidRPr="00C360A6">
        <w:t xml:space="preserve"> </w:t>
      </w:r>
      <w:r w:rsidR="00E12068" w:rsidRPr="00C360A6">
        <w:t>a</w:t>
      </w:r>
      <w:r w:rsidRPr="00C360A6">
        <w:t xml:space="preserve">ction </w:t>
      </w:r>
      <w:r w:rsidR="00E12068" w:rsidRPr="00C360A6">
        <w:t>p</w:t>
      </w:r>
      <w:r w:rsidRPr="00C360A6">
        <w:t>lan in four priority areas.</w:t>
      </w:r>
    </w:p>
    <w:tbl>
      <w:tblPr>
        <w:tblStyle w:val="TableGrid"/>
        <w:tblW w:w="9209" w:type="dxa"/>
        <w:jc w:val="center"/>
        <w:tblLook w:val="0620" w:firstRow="1" w:lastRow="0" w:firstColumn="0" w:lastColumn="0" w:noHBand="1" w:noVBand="1"/>
      </w:tblPr>
      <w:tblGrid>
        <w:gridCol w:w="3325"/>
        <w:gridCol w:w="5884"/>
      </w:tblGrid>
      <w:tr w:rsidR="009E6793" w:rsidRPr="00C360A6" w14:paraId="7C3D043B" w14:textId="77777777" w:rsidTr="00D00BE5">
        <w:trPr>
          <w:tblHeader/>
          <w:jc w:val="center"/>
        </w:trPr>
        <w:tc>
          <w:tcPr>
            <w:tcW w:w="3325" w:type="dxa"/>
            <w:vAlign w:val="center"/>
          </w:tcPr>
          <w:p w14:paraId="06EBB9D0" w14:textId="77777777" w:rsidR="009E6793" w:rsidRPr="00C360A6" w:rsidRDefault="009E6793" w:rsidP="0053739A">
            <w:pPr>
              <w:pStyle w:val="Tablecolhead"/>
            </w:pPr>
            <w:r w:rsidRPr="00C360A6">
              <w:t>Priority action area</w:t>
            </w:r>
          </w:p>
        </w:tc>
        <w:tc>
          <w:tcPr>
            <w:tcW w:w="5884" w:type="dxa"/>
          </w:tcPr>
          <w:p w14:paraId="1C441DEE" w14:textId="77777777" w:rsidR="009E6793" w:rsidRPr="00C360A6" w:rsidRDefault="009E6793" w:rsidP="0053739A">
            <w:pPr>
              <w:pStyle w:val="Tablecolhead"/>
              <w:rPr>
                <w:rFonts w:ascii="Calibri" w:eastAsia="MS PGothic" w:hAnsi="Calibri" w:cs="Calibri"/>
                <w:color w:val="000000" w:themeColor="text1"/>
                <w:kern w:val="24"/>
                <w:lang w:eastAsia="en-AU"/>
              </w:rPr>
            </w:pPr>
            <w:r w:rsidRPr="00C360A6">
              <w:t>Outcome</w:t>
            </w:r>
          </w:p>
        </w:tc>
      </w:tr>
      <w:tr w:rsidR="009E6793" w:rsidRPr="00C360A6" w14:paraId="19F281E4" w14:textId="77777777" w:rsidTr="00D00BE5">
        <w:trPr>
          <w:jc w:val="center"/>
        </w:trPr>
        <w:tc>
          <w:tcPr>
            <w:tcW w:w="3325" w:type="dxa"/>
            <w:vAlign w:val="center"/>
          </w:tcPr>
          <w:p w14:paraId="42C0CAA3" w14:textId="4C0F6244" w:rsidR="009E6793" w:rsidRPr="00014F5C" w:rsidRDefault="009E6793" w:rsidP="0053739A">
            <w:pPr>
              <w:pStyle w:val="Tabletext"/>
              <w:rPr>
                <w:rFonts w:eastAsia="MS PGothic"/>
              </w:rPr>
            </w:pPr>
            <w:r w:rsidRPr="00C360A6">
              <w:rPr>
                <w:rFonts w:eastAsia="MS PGothic"/>
              </w:rPr>
              <w:t>Resilient</w:t>
            </w:r>
            <w:r w:rsidR="00E12068" w:rsidRPr="00C360A6">
              <w:rPr>
                <w:rFonts w:eastAsia="MS PGothic"/>
              </w:rPr>
              <w:t>,</w:t>
            </w:r>
            <w:r w:rsidRPr="00C360A6">
              <w:rPr>
                <w:rFonts w:eastAsia="MS PGothic"/>
              </w:rPr>
              <w:t xml:space="preserve"> </w:t>
            </w:r>
            <w:r w:rsidR="00E12068" w:rsidRPr="00C360A6">
              <w:rPr>
                <w:rFonts w:eastAsia="MS PGothic"/>
              </w:rPr>
              <w:t>c</w:t>
            </w:r>
            <w:r w:rsidRPr="00C360A6">
              <w:rPr>
                <w:rFonts w:eastAsia="MS PGothic"/>
              </w:rPr>
              <w:t xml:space="preserve">onnected </w:t>
            </w:r>
            <w:r w:rsidR="00E12068" w:rsidRPr="00C360A6">
              <w:rPr>
                <w:rFonts w:eastAsia="MS PGothic"/>
              </w:rPr>
              <w:t>s</w:t>
            </w:r>
            <w:r w:rsidRPr="00C360A6">
              <w:rPr>
                <w:rFonts w:eastAsia="MS PGothic"/>
              </w:rPr>
              <w:t>eniors</w:t>
            </w:r>
          </w:p>
        </w:tc>
        <w:tc>
          <w:tcPr>
            <w:tcW w:w="5884" w:type="dxa"/>
            <w:vAlign w:val="center"/>
          </w:tcPr>
          <w:p w14:paraId="72E6C3CD" w14:textId="2B38F66C" w:rsidR="009E6793" w:rsidRPr="00C360A6" w:rsidRDefault="009E6793" w:rsidP="0053739A">
            <w:pPr>
              <w:pStyle w:val="Tabletext"/>
            </w:pPr>
            <w:r w:rsidRPr="00C360A6" w:rsidDel="00C57BBE">
              <w:rPr>
                <w:rFonts w:eastAsia="MS PGothic"/>
              </w:rPr>
              <w:t>Older people</w:t>
            </w:r>
            <w:r w:rsidRPr="00C360A6">
              <w:rPr>
                <w:rFonts w:eastAsia="MS PGothic"/>
              </w:rPr>
              <w:t xml:space="preserve"> </w:t>
            </w:r>
            <w:r w:rsidR="00AE2A0D" w:rsidRPr="00C360A6">
              <w:rPr>
                <w:rFonts w:eastAsia="MS PGothic"/>
              </w:rPr>
              <w:t>have</w:t>
            </w:r>
            <w:r w:rsidRPr="00C360A6">
              <w:rPr>
                <w:rFonts w:eastAsia="MS PGothic"/>
              </w:rPr>
              <w:t xml:space="preserve"> a sense of purpose through social, cultural</w:t>
            </w:r>
            <w:r w:rsidR="00C57BBE">
              <w:rPr>
                <w:rFonts w:eastAsia="MS PGothic"/>
              </w:rPr>
              <w:t>,</w:t>
            </w:r>
            <w:r w:rsidRPr="00C360A6">
              <w:rPr>
                <w:rFonts w:eastAsia="MS PGothic"/>
              </w:rPr>
              <w:t xml:space="preserve"> and intergenerational connections.</w:t>
            </w:r>
          </w:p>
        </w:tc>
      </w:tr>
      <w:tr w:rsidR="009E6793" w:rsidRPr="00C360A6" w14:paraId="1624C4C0" w14:textId="77777777" w:rsidTr="00D00BE5">
        <w:trPr>
          <w:jc w:val="center"/>
        </w:trPr>
        <w:tc>
          <w:tcPr>
            <w:tcW w:w="3325" w:type="dxa"/>
            <w:vAlign w:val="center"/>
          </w:tcPr>
          <w:p w14:paraId="076DC965" w14:textId="5F373CCF" w:rsidR="009E6793" w:rsidRPr="00C360A6" w:rsidRDefault="009E6793" w:rsidP="0053739A">
            <w:pPr>
              <w:pStyle w:val="Tabletext"/>
            </w:pPr>
            <w:r w:rsidRPr="00C360A6">
              <w:rPr>
                <w:rFonts w:eastAsia="MS PGothic"/>
              </w:rPr>
              <w:t>Tech</w:t>
            </w:r>
            <w:r w:rsidR="00E12068" w:rsidRPr="00C360A6">
              <w:rPr>
                <w:rFonts w:eastAsia="MS PGothic"/>
              </w:rPr>
              <w:t>-s</w:t>
            </w:r>
            <w:r w:rsidRPr="00C360A6">
              <w:rPr>
                <w:rFonts w:eastAsia="MS PGothic"/>
              </w:rPr>
              <w:t xml:space="preserve">avvy </w:t>
            </w:r>
            <w:r w:rsidR="00E12068" w:rsidRPr="00C360A6">
              <w:rPr>
                <w:rFonts w:eastAsia="MS PGothic"/>
              </w:rPr>
              <w:t>s</w:t>
            </w:r>
            <w:r w:rsidRPr="00C360A6">
              <w:rPr>
                <w:rFonts w:eastAsia="MS PGothic"/>
              </w:rPr>
              <w:t>eniors</w:t>
            </w:r>
          </w:p>
          <w:p w14:paraId="19D3D8B2" w14:textId="77777777" w:rsidR="009E6793" w:rsidRPr="00C360A6" w:rsidRDefault="009E6793" w:rsidP="0053739A">
            <w:pPr>
              <w:pStyle w:val="Tabletext"/>
            </w:pPr>
          </w:p>
        </w:tc>
        <w:tc>
          <w:tcPr>
            <w:tcW w:w="5884" w:type="dxa"/>
            <w:vAlign w:val="center"/>
          </w:tcPr>
          <w:p w14:paraId="2AFBBA3F" w14:textId="667D2D2F" w:rsidR="009E6793" w:rsidRPr="00D00BE5" w:rsidRDefault="009E6793" w:rsidP="0053739A">
            <w:pPr>
              <w:pStyle w:val="Tabletext"/>
              <w:rPr>
                <w:rFonts w:eastAsia="MS PGothic"/>
              </w:rPr>
            </w:pPr>
            <w:r w:rsidRPr="00C360A6" w:rsidDel="00C57BBE">
              <w:rPr>
                <w:rFonts w:eastAsia="MS PGothic"/>
              </w:rPr>
              <w:t>Older</w:t>
            </w:r>
            <w:r w:rsidR="00C57BBE" w:rsidRPr="00C360A6">
              <w:rPr>
                <w:rFonts w:eastAsia="MS PGothic"/>
              </w:rPr>
              <w:t xml:space="preserve"> </w:t>
            </w:r>
            <w:r w:rsidRPr="00C360A6">
              <w:rPr>
                <w:rFonts w:eastAsia="MS PGothic"/>
              </w:rPr>
              <w:t xml:space="preserve">Victorians can </w:t>
            </w:r>
            <w:r w:rsidR="00AE2A0D" w:rsidRPr="00C360A6">
              <w:rPr>
                <w:rFonts w:eastAsia="MS PGothic"/>
              </w:rPr>
              <w:t xml:space="preserve">take part </w:t>
            </w:r>
            <w:r w:rsidR="005B2F16">
              <w:rPr>
                <w:rFonts w:eastAsia="MS PGothic"/>
              </w:rPr>
              <w:t>in</w:t>
            </w:r>
            <w:r w:rsidR="005B2F16" w:rsidRPr="00C360A6">
              <w:rPr>
                <w:rFonts w:eastAsia="MS PGothic"/>
              </w:rPr>
              <w:t xml:space="preserve"> </w:t>
            </w:r>
            <w:r w:rsidRPr="00C360A6">
              <w:rPr>
                <w:rFonts w:eastAsia="MS PGothic"/>
              </w:rPr>
              <w:t>the digital world</w:t>
            </w:r>
            <w:r w:rsidR="00AE2A0D" w:rsidRPr="00C360A6">
              <w:rPr>
                <w:rFonts w:eastAsia="MS PGothic"/>
              </w:rPr>
              <w:t>.</w:t>
            </w:r>
            <w:r w:rsidRPr="00C360A6">
              <w:rPr>
                <w:rFonts w:eastAsia="MS PGothic"/>
              </w:rPr>
              <w:t xml:space="preserve"> </w:t>
            </w:r>
            <w:r w:rsidR="00AE2A0D" w:rsidRPr="00C360A6">
              <w:rPr>
                <w:rFonts w:eastAsia="MS PGothic"/>
              </w:rPr>
              <w:t>T</w:t>
            </w:r>
            <w:r w:rsidRPr="00C360A6">
              <w:rPr>
                <w:rFonts w:eastAsia="MS PGothic"/>
              </w:rPr>
              <w:t xml:space="preserve">hose who can’t </w:t>
            </w:r>
            <w:r w:rsidR="00AE2A0D" w:rsidRPr="00C360A6">
              <w:rPr>
                <w:rFonts w:eastAsia="MS PGothic"/>
              </w:rPr>
              <w:t xml:space="preserve">do not experience </w:t>
            </w:r>
            <w:proofErr w:type="gramStart"/>
            <w:r w:rsidRPr="00C360A6">
              <w:rPr>
                <w:rFonts w:eastAsia="MS PGothic"/>
              </w:rPr>
              <w:t>discriminat</w:t>
            </w:r>
            <w:r w:rsidR="00AE2A0D" w:rsidRPr="00C360A6">
              <w:rPr>
                <w:rFonts w:eastAsia="MS PGothic"/>
              </w:rPr>
              <w:t>ion</w:t>
            </w:r>
            <w:r w:rsidR="0099009D">
              <w:rPr>
                <w:rFonts w:eastAsia="MS PGothic"/>
              </w:rPr>
              <w:t>, and</w:t>
            </w:r>
            <w:proofErr w:type="gramEnd"/>
            <w:r w:rsidR="0099009D">
              <w:rPr>
                <w:rFonts w:eastAsia="MS PGothic"/>
              </w:rPr>
              <w:t xml:space="preserve"> </w:t>
            </w:r>
            <w:r w:rsidRPr="00C360A6">
              <w:rPr>
                <w:rFonts w:eastAsia="MS PGothic"/>
              </w:rPr>
              <w:t>can access services via other means.</w:t>
            </w:r>
          </w:p>
        </w:tc>
      </w:tr>
      <w:tr w:rsidR="009E6793" w:rsidRPr="00C360A6" w14:paraId="302D4324" w14:textId="77777777" w:rsidTr="00D00BE5">
        <w:trPr>
          <w:jc w:val="center"/>
        </w:trPr>
        <w:tc>
          <w:tcPr>
            <w:tcW w:w="3325" w:type="dxa"/>
            <w:vAlign w:val="center"/>
          </w:tcPr>
          <w:p w14:paraId="687CCFE6" w14:textId="5179E33C" w:rsidR="009E6793" w:rsidRPr="00C360A6" w:rsidRDefault="009E6793" w:rsidP="0053739A">
            <w:pPr>
              <w:pStyle w:val="Tabletext"/>
            </w:pPr>
            <w:r w:rsidRPr="00C360A6">
              <w:rPr>
                <w:rFonts w:eastAsia="MS PGothic"/>
              </w:rPr>
              <w:t xml:space="preserve">Valuing </w:t>
            </w:r>
            <w:r w:rsidR="00E12068" w:rsidRPr="00C360A6">
              <w:rPr>
                <w:rFonts w:eastAsia="MS PGothic"/>
              </w:rPr>
              <w:t>s</w:t>
            </w:r>
            <w:r w:rsidRPr="00C360A6">
              <w:rPr>
                <w:rFonts w:eastAsia="MS PGothic"/>
              </w:rPr>
              <w:t>enior Victorians</w:t>
            </w:r>
          </w:p>
        </w:tc>
        <w:tc>
          <w:tcPr>
            <w:tcW w:w="5884" w:type="dxa"/>
            <w:vAlign w:val="center"/>
          </w:tcPr>
          <w:p w14:paraId="246E2279" w14:textId="0065F90B" w:rsidR="009E6793" w:rsidRPr="00C360A6" w:rsidRDefault="009E6793" w:rsidP="0053739A">
            <w:pPr>
              <w:pStyle w:val="Tabletext"/>
            </w:pPr>
            <w:r w:rsidRPr="00C360A6">
              <w:rPr>
                <w:rFonts w:eastAsia="MS PGothic"/>
              </w:rPr>
              <w:t xml:space="preserve">Reduced ageism and increased visibility and appreciation of </w:t>
            </w:r>
            <w:r w:rsidRPr="00C360A6" w:rsidDel="00D30B2C">
              <w:rPr>
                <w:rFonts w:eastAsia="MS PGothic"/>
              </w:rPr>
              <w:t>older people</w:t>
            </w:r>
            <w:r w:rsidRPr="00C360A6">
              <w:rPr>
                <w:rFonts w:eastAsia="MS PGothic"/>
              </w:rPr>
              <w:t xml:space="preserve"> as valued and contributing Victorian citizens.</w:t>
            </w:r>
          </w:p>
        </w:tc>
      </w:tr>
      <w:tr w:rsidR="009E6793" w:rsidRPr="00C360A6" w14:paraId="73871F28" w14:textId="77777777" w:rsidTr="00D00BE5">
        <w:trPr>
          <w:jc w:val="center"/>
        </w:trPr>
        <w:tc>
          <w:tcPr>
            <w:tcW w:w="3325" w:type="dxa"/>
            <w:vAlign w:val="center"/>
          </w:tcPr>
          <w:p w14:paraId="5E7B8745" w14:textId="2E0358FE" w:rsidR="009E6793" w:rsidRPr="00C360A6" w:rsidRDefault="009E6793" w:rsidP="0053739A">
            <w:pPr>
              <w:pStyle w:val="Tabletext"/>
            </w:pPr>
            <w:r w:rsidRPr="00C360A6">
              <w:rPr>
                <w:rFonts w:eastAsia="MS PGothic"/>
              </w:rPr>
              <w:t xml:space="preserve">Health </w:t>
            </w:r>
            <w:r w:rsidR="00E12068" w:rsidRPr="00C360A6">
              <w:rPr>
                <w:rFonts w:eastAsia="MS PGothic"/>
              </w:rPr>
              <w:t>s</w:t>
            </w:r>
            <w:r w:rsidRPr="00C360A6">
              <w:rPr>
                <w:rFonts w:eastAsia="MS PGothic"/>
              </w:rPr>
              <w:t>elf-care</w:t>
            </w:r>
          </w:p>
        </w:tc>
        <w:tc>
          <w:tcPr>
            <w:tcW w:w="5884" w:type="dxa"/>
            <w:vAlign w:val="center"/>
          </w:tcPr>
          <w:p w14:paraId="7FEAF35C" w14:textId="6D9C6A38" w:rsidR="009E6793" w:rsidRPr="00C360A6" w:rsidRDefault="009E6793" w:rsidP="0053739A">
            <w:pPr>
              <w:pStyle w:val="Tabletext"/>
            </w:pPr>
            <w:r w:rsidRPr="00C360A6">
              <w:rPr>
                <w:rFonts w:eastAsia="MS PGothic"/>
              </w:rPr>
              <w:t xml:space="preserve">Healthcare advances driven by the pandemic improve the health of </w:t>
            </w:r>
            <w:r w:rsidRPr="00C360A6" w:rsidDel="00B30905">
              <w:rPr>
                <w:rFonts w:eastAsia="MS PGothic"/>
              </w:rPr>
              <w:t>older people</w:t>
            </w:r>
            <w:r w:rsidRPr="00C360A6">
              <w:rPr>
                <w:rFonts w:eastAsia="MS PGothic"/>
              </w:rPr>
              <w:t xml:space="preserve"> and their ability to protect themselves.</w:t>
            </w:r>
          </w:p>
        </w:tc>
      </w:tr>
    </w:tbl>
    <w:p w14:paraId="5AE5D93B" w14:textId="388CCE07" w:rsidR="009E6793" w:rsidRPr="00C360A6" w:rsidRDefault="009E6793" w:rsidP="00B743FD">
      <w:pPr>
        <w:pStyle w:val="Heading2"/>
      </w:pPr>
      <w:bookmarkStart w:id="22" w:name="_Toc104995718"/>
      <w:bookmarkStart w:id="23" w:name="_Toc107246682"/>
      <w:r w:rsidRPr="00C360A6">
        <w:t xml:space="preserve">An </w:t>
      </w:r>
      <w:r w:rsidR="00443AFA" w:rsidRPr="00C360A6">
        <w:t>‘</w:t>
      </w:r>
      <w:r w:rsidRPr="00C360A6">
        <w:t>ageing well lens</w:t>
      </w:r>
      <w:r w:rsidR="00443AFA" w:rsidRPr="00C360A6">
        <w:t>’</w:t>
      </w:r>
      <w:bookmarkEnd w:id="22"/>
      <w:bookmarkEnd w:id="23"/>
    </w:p>
    <w:p w14:paraId="3ECB9FD3" w14:textId="3239876E" w:rsidR="009E6793" w:rsidRPr="00C360A6" w:rsidRDefault="009E6793" w:rsidP="0053739A">
      <w:pPr>
        <w:pStyle w:val="Body"/>
      </w:pPr>
      <w:r w:rsidRPr="004F37ED">
        <w:t xml:space="preserve">To strengthen the vision and actions of this </w:t>
      </w:r>
      <w:r w:rsidR="00E12068" w:rsidRPr="004F37ED">
        <w:t>a</w:t>
      </w:r>
      <w:r w:rsidRPr="004F37ED">
        <w:t xml:space="preserve">ction </w:t>
      </w:r>
      <w:r w:rsidR="00E12068" w:rsidRPr="004F37ED">
        <w:t>p</w:t>
      </w:r>
      <w:r w:rsidRPr="004F37ED">
        <w:t xml:space="preserve">lan, the </w:t>
      </w:r>
      <w:r w:rsidR="0015190A" w:rsidRPr="004F37ED">
        <w:t>g</w:t>
      </w:r>
      <w:r w:rsidRPr="004F37ED">
        <w:t xml:space="preserve">overnment will encourage an </w:t>
      </w:r>
      <w:r w:rsidR="00443AFA" w:rsidRPr="004F37ED">
        <w:t>‘</w:t>
      </w:r>
      <w:r w:rsidRPr="004F37ED">
        <w:t>ageing well lens</w:t>
      </w:r>
      <w:r w:rsidR="00443AFA" w:rsidRPr="004F37ED">
        <w:t>’</w:t>
      </w:r>
      <w:r w:rsidRPr="004F37ED">
        <w:t xml:space="preserve"> in all government services and programs. This means </w:t>
      </w:r>
      <w:r w:rsidR="006A4975" w:rsidRPr="004F37ED">
        <w:t xml:space="preserve">factoring in </w:t>
      </w:r>
      <w:r w:rsidRPr="004F37ED">
        <w:t>the diverse needs of people of all ages and their different abilities into program and service design and delivery.</w:t>
      </w:r>
      <w:r w:rsidRPr="00C360A6">
        <w:t xml:space="preserve"> </w:t>
      </w:r>
    </w:p>
    <w:p w14:paraId="24BF3101" w14:textId="65856D2A" w:rsidR="009E6793" w:rsidRPr="00C360A6" w:rsidRDefault="009E6793" w:rsidP="0053739A">
      <w:pPr>
        <w:pStyle w:val="Body"/>
      </w:pPr>
      <w:r w:rsidRPr="00C360A6">
        <w:t>For example, Safer Care Victoria is undertaking work on age-friendly health services</w:t>
      </w:r>
      <w:r w:rsidR="0015190A" w:rsidRPr="00C360A6">
        <w:t>.</w:t>
      </w:r>
      <w:r w:rsidRPr="00C360A6">
        <w:t xml:space="preserve"> </w:t>
      </w:r>
      <w:r w:rsidR="0015190A" w:rsidRPr="00C360A6">
        <w:t xml:space="preserve">A </w:t>
      </w:r>
      <w:r w:rsidRPr="00C360A6">
        <w:t>trial of improved responses for older cardiovascular patients is building in health self-</w:t>
      </w:r>
      <w:r w:rsidRPr="008D41AC">
        <w:t>care elements. During 2022</w:t>
      </w:r>
      <w:r w:rsidR="00C220E5" w:rsidRPr="008D41AC">
        <w:t>,</w:t>
      </w:r>
      <w:r w:rsidRPr="008D41AC">
        <w:t xml:space="preserve"> Safer Care Victoria will consult with the Senior Victorians</w:t>
      </w:r>
      <w:r w:rsidRPr="00C360A6">
        <w:t xml:space="preserve"> Advisory Group on how to better include the consumer voice of older people in </w:t>
      </w:r>
      <w:r w:rsidR="006A4975" w:rsidRPr="00C360A6">
        <w:t xml:space="preserve">health service </w:t>
      </w:r>
      <w:r w:rsidRPr="00C360A6">
        <w:t>design</w:t>
      </w:r>
      <w:r w:rsidR="0015190A" w:rsidRPr="00C360A6">
        <w:t>. This will</w:t>
      </w:r>
      <w:r w:rsidRPr="00C360A6">
        <w:t xml:space="preserve"> includ</w:t>
      </w:r>
      <w:r w:rsidR="0015190A" w:rsidRPr="00C360A6">
        <w:t>e</w:t>
      </w:r>
      <w:r w:rsidRPr="00C360A6">
        <w:t xml:space="preserve"> more diverse older consumers’ voices.</w:t>
      </w:r>
    </w:p>
    <w:p w14:paraId="55C7B48D" w14:textId="020C1BE5" w:rsidR="009E6793" w:rsidRPr="00C360A6" w:rsidRDefault="001A1086" w:rsidP="0053739A">
      <w:pPr>
        <w:pStyle w:val="Body"/>
      </w:pPr>
      <w:r w:rsidRPr="00C360A6">
        <w:t>Senior Victorians without access to digital technology face c</w:t>
      </w:r>
      <w:r w:rsidR="009E6793" w:rsidRPr="00C360A6">
        <w:t>hallenges accessing online services</w:t>
      </w:r>
      <w:r w:rsidRPr="00C360A6">
        <w:t>.</w:t>
      </w:r>
      <w:r w:rsidR="009E6793" w:rsidRPr="00C360A6">
        <w:t xml:space="preserve"> </w:t>
      </w:r>
      <w:r w:rsidRPr="00C360A6">
        <w:t xml:space="preserve">This heightened </w:t>
      </w:r>
      <w:r w:rsidR="009E6793" w:rsidRPr="00C360A6">
        <w:t xml:space="preserve">during the pandemic when many </w:t>
      </w:r>
      <w:r w:rsidR="005D4E62">
        <w:t xml:space="preserve">in-person </w:t>
      </w:r>
      <w:r w:rsidR="009E6793" w:rsidRPr="00C360A6">
        <w:t xml:space="preserve">services shut down. To </w:t>
      </w:r>
      <w:r w:rsidRPr="00C360A6">
        <w:t>help</w:t>
      </w:r>
      <w:r w:rsidR="009E6793" w:rsidRPr="00C360A6">
        <w:t xml:space="preserve"> people without online access</w:t>
      </w:r>
      <w:r w:rsidR="00231295" w:rsidRPr="00C360A6">
        <w:t>,</w:t>
      </w:r>
      <w:r w:rsidR="009E6793" w:rsidRPr="00C360A6">
        <w:rPr>
          <w:szCs w:val="24"/>
        </w:rPr>
        <w:t xml:space="preserve"> </w:t>
      </w:r>
      <w:r w:rsidR="009E6793" w:rsidRPr="00C360A6">
        <w:t>government departments will be requested to develop alternatives to online access</w:t>
      </w:r>
      <w:r w:rsidR="00231295" w:rsidRPr="00C360A6">
        <w:t>. This will target</w:t>
      </w:r>
      <w:r w:rsidR="009E6793" w:rsidRPr="00C360A6">
        <w:t xml:space="preserve"> services </w:t>
      </w:r>
      <w:r w:rsidR="00231295" w:rsidRPr="00C360A6">
        <w:t xml:space="preserve">for </w:t>
      </w:r>
      <w:r w:rsidR="009E6793" w:rsidRPr="00C360A6">
        <w:t>seniors and key social services</w:t>
      </w:r>
      <w:r w:rsidR="00231295" w:rsidRPr="00C360A6">
        <w:t xml:space="preserve"> that </w:t>
      </w:r>
      <w:r w:rsidR="009E6793" w:rsidRPr="00C360A6">
        <w:t>currently provide online access only.</w:t>
      </w:r>
    </w:p>
    <w:p w14:paraId="6966601C" w14:textId="1A5E4C53" w:rsidR="009E6793" w:rsidRPr="00C360A6" w:rsidRDefault="009E6793" w:rsidP="0053739A">
      <w:pPr>
        <w:pStyle w:val="Body"/>
      </w:pPr>
      <w:r w:rsidRPr="00C360A6">
        <w:t>For example, as part of its rollout of the March 2022 Victorian Travel Scheme, the Department of Jobs, Precincts and Regions designed a Seniors Travel Voucher Scheme</w:t>
      </w:r>
      <w:r w:rsidR="00231295" w:rsidRPr="00C360A6">
        <w:t>. Under the scheme,</w:t>
      </w:r>
      <w:r w:rsidRPr="00C360A6">
        <w:t xml:space="preserve"> a portion of the vouchers were set aside specifically for seniors. Seniors Card holders could apply online for five days</w:t>
      </w:r>
      <w:r w:rsidR="00231295" w:rsidRPr="00C360A6">
        <w:t>.</w:t>
      </w:r>
      <w:r w:rsidRPr="00C360A6">
        <w:t xml:space="preserve"> (</w:t>
      </w:r>
      <w:r w:rsidR="00231295" w:rsidRPr="00C360A6">
        <w:t xml:space="preserve">This is </w:t>
      </w:r>
      <w:r w:rsidRPr="00C360A6">
        <w:t xml:space="preserve">instead of the first come, first served </w:t>
      </w:r>
      <w:proofErr w:type="spellStart"/>
      <w:r w:rsidRPr="00C360A6">
        <w:t>Statewide</w:t>
      </w:r>
      <w:proofErr w:type="spellEnd"/>
      <w:r w:rsidRPr="00C360A6">
        <w:t xml:space="preserve"> Travel Voucher Scheme where vouchers were </w:t>
      </w:r>
      <w:r w:rsidRPr="00C360A6">
        <w:lastRenderedPageBreak/>
        <w:t>exhausted in under an hour</w:t>
      </w:r>
      <w:r w:rsidR="00231295" w:rsidRPr="00C360A6">
        <w:t>.</w:t>
      </w:r>
      <w:r w:rsidRPr="00C360A6">
        <w:t>)</w:t>
      </w:r>
      <w:r w:rsidR="00231295" w:rsidRPr="00C360A6">
        <w:t xml:space="preserve"> Seniors got</w:t>
      </w:r>
      <w:r w:rsidRPr="00C360A6">
        <w:t xml:space="preserve"> support from a dedicated call centre to </w:t>
      </w:r>
      <w:r w:rsidR="00231295" w:rsidRPr="00C360A6">
        <w:t xml:space="preserve">help </w:t>
      </w:r>
      <w:r w:rsidRPr="00C360A6">
        <w:t>with their applications.</w:t>
      </w:r>
    </w:p>
    <w:p w14:paraId="1781F8AD" w14:textId="77777777" w:rsidR="009E6793" w:rsidRPr="00C360A6" w:rsidRDefault="009E6793" w:rsidP="00B743FD">
      <w:pPr>
        <w:pStyle w:val="Heading2"/>
      </w:pPr>
      <w:bookmarkStart w:id="24" w:name="_Toc104995719"/>
      <w:bookmarkStart w:id="25" w:name="_Toc107246683"/>
      <w:r w:rsidRPr="00C360A6">
        <w:t>Delivering in partnership and by listening</w:t>
      </w:r>
      <w:bookmarkEnd w:id="24"/>
      <w:bookmarkEnd w:id="25"/>
    </w:p>
    <w:p w14:paraId="702DCAE7" w14:textId="17F38174" w:rsidR="009E6793" w:rsidRPr="00C360A6" w:rsidRDefault="009E6793" w:rsidP="0053739A">
      <w:pPr>
        <w:pStyle w:val="Body"/>
      </w:pPr>
      <w:r w:rsidRPr="00C360A6">
        <w:t xml:space="preserve">The Victorian Government supports diverse communities across all ages. We acknowledge the value of partnerships and co-design to plan and deliver services and to support culturally diverse communities, LGBTIQ+ people and First Nations peoples. We will continue to consult with a diverse range of older people and with the members of the Senior Victorians Advisory Group about </w:t>
      </w:r>
      <w:r w:rsidRPr="00C360A6">
        <w:rPr>
          <w:rFonts w:cstheme="minorHAnsi"/>
        </w:rPr>
        <w:t>implement</w:t>
      </w:r>
      <w:r w:rsidR="00231295" w:rsidRPr="00C360A6">
        <w:rPr>
          <w:rFonts w:cstheme="minorHAnsi"/>
        </w:rPr>
        <w:t>ing</w:t>
      </w:r>
      <w:r w:rsidRPr="00C360A6">
        <w:rPr>
          <w:rFonts w:cstheme="minorHAnsi"/>
        </w:rPr>
        <w:t xml:space="preserve"> activities in the four priority domains</w:t>
      </w:r>
      <w:r w:rsidR="00231295" w:rsidRPr="00C360A6">
        <w:rPr>
          <w:rFonts w:cstheme="minorHAnsi"/>
        </w:rPr>
        <w:t xml:space="preserve">. We will continue to </w:t>
      </w:r>
      <w:r w:rsidR="00FE1E5E" w:rsidRPr="00C360A6">
        <w:rPr>
          <w:rFonts w:cstheme="minorHAnsi"/>
        </w:rPr>
        <w:t>keep an eye on</w:t>
      </w:r>
      <w:r w:rsidRPr="00C360A6">
        <w:rPr>
          <w:rFonts w:cstheme="minorHAnsi"/>
        </w:rPr>
        <w:t xml:space="preserve"> the ongoing issues </w:t>
      </w:r>
      <w:r w:rsidR="00231295" w:rsidRPr="00C360A6">
        <w:rPr>
          <w:rFonts w:cstheme="minorHAnsi"/>
        </w:rPr>
        <w:t>that are important</w:t>
      </w:r>
      <w:r w:rsidRPr="00C360A6">
        <w:rPr>
          <w:rFonts w:cstheme="minorHAnsi"/>
        </w:rPr>
        <w:t xml:space="preserve"> to </w:t>
      </w:r>
      <w:r w:rsidRPr="00C360A6">
        <w:t>our diverse senior population.</w:t>
      </w:r>
    </w:p>
    <w:p w14:paraId="27CDF9C1" w14:textId="79128327" w:rsidR="009E6793" w:rsidRPr="00C360A6" w:rsidRDefault="009E6793" w:rsidP="0053739A">
      <w:pPr>
        <w:pStyle w:val="Body"/>
      </w:pPr>
      <w:r w:rsidRPr="00C360A6">
        <w:t xml:space="preserve">We will also ensure the needs of different age </w:t>
      </w:r>
      <w:r w:rsidR="00231295" w:rsidRPr="00C360A6">
        <w:t xml:space="preserve">groups </w:t>
      </w:r>
      <w:r w:rsidRPr="00C360A6">
        <w:t xml:space="preserve">of older people are recognised and heard. </w:t>
      </w:r>
      <w:r w:rsidR="004A469A">
        <w:t>The needs of</w:t>
      </w:r>
      <w:r w:rsidRPr="00C360A6">
        <w:t xml:space="preserve"> people aged 60 </w:t>
      </w:r>
      <w:r w:rsidR="001547EE" w:rsidRPr="00C360A6">
        <w:t>to</w:t>
      </w:r>
      <w:r w:rsidRPr="00C360A6">
        <w:t xml:space="preserve"> 70 </w:t>
      </w:r>
      <w:r w:rsidR="001547EE" w:rsidRPr="00C360A6">
        <w:t xml:space="preserve">years </w:t>
      </w:r>
      <w:r w:rsidR="004A469A">
        <w:t xml:space="preserve">compared </w:t>
      </w:r>
      <w:r w:rsidR="00C67B33">
        <w:t>to</w:t>
      </w:r>
      <w:r w:rsidR="004A469A" w:rsidRPr="00C360A6">
        <w:t xml:space="preserve"> </w:t>
      </w:r>
      <w:r w:rsidRPr="00C360A6">
        <w:t xml:space="preserve">those aged over 80, for example, </w:t>
      </w:r>
      <w:r w:rsidR="00C67B33">
        <w:t xml:space="preserve">can be as different </w:t>
      </w:r>
      <w:r w:rsidRPr="00C360A6">
        <w:t>as the needs of preschool children compared with those of young adults.</w:t>
      </w:r>
    </w:p>
    <w:p w14:paraId="23F32214" w14:textId="73B9EF64" w:rsidR="009E6793" w:rsidRPr="00C360A6" w:rsidRDefault="009E6793" w:rsidP="0053739A">
      <w:pPr>
        <w:pStyle w:val="Body"/>
      </w:pPr>
      <w:r w:rsidRPr="00C360A6">
        <w:t xml:space="preserve">The </w:t>
      </w:r>
      <w:r w:rsidR="006C058B" w:rsidRPr="00C360A6">
        <w:t>g</w:t>
      </w:r>
      <w:r w:rsidRPr="00C360A6">
        <w:t>overnment supports Metropolitan Partnerships and Regional Partnerships to advise on the important issues for community in their regions. Metropolitan Partnership Development Fund projects supporting older people include:</w:t>
      </w:r>
    </w:p>
    <w:p w14:paraId="416F1F40" w14:textId="45E12640" w:rsidR="009E6793" w:rsidRPr="00C360A6" w:rsidRDefault="009E6793" w:rsidP="00B743FD">
      <w:pPr>
        <w:pStyle w:val="Bullet1"/>
      </w:pPr>
      <w:r w:rsidRPr="00C360A6">
        <w:t xml:space="preserve">Aboriginal Elders Cultural Wellbeing (metro-wide) </w:t>
      </w:r>
      <w:r w:rsidR="001547EE" w:rsidRPr="00C360A6">
        <w:t>–</w:t>
      </w:r>
      <w:r w:rsidRPr="00C360A6">
        <w:t xml:space="preserve"> understanding issues and solutions for Elders related to social connection and mental wellbeing</w:t>
      </w:r>
    </w:p>
    <w:p w14:paraId="5F0EA6C0" w14:textId="544439E1" w:rsidR="009E6793" w:rsidRPr="00C360A6" w:rsidRDefault="009E6793" w:rsidP="00B743FD">
      <w:pPr>
        <w:pStyle w:val="Bullet1"/>
      </w:pPr>
      <w:r w:rsidRPr="00C360A6">
        <w:t>the Chatty Café Scheme (</w:t>
      </w:r>
      <w:r w:rsidR="006C058B" w:rsidRPr="00C360A6">
        <w:t>i</w:t>
      </w:r>
      <w:r w:rsidRPr="00C360A6">
        <w:t xml:space="preserve">nner </w:t>
      </w:r>
      <w:r w:rsidR="006C058B" w:rsidRPr="00C360A6">
        <w:t>s</w:t>
      </w:r>
      <w:r w:rsidRPr="00C360A6">
        <w:t>outh</w:t>
      </w:r>
      <w:r w:rsidR="006C058B" w:rsidRPr="00C360A6">
        <w:t>-e</w:t>
      </w:r>
      <w:r w:rsidRPr="00C360A6">
        <w:t xml:space="preserve">ast) </w:t>
      </w:r>
      <w:r w:rsidR="001547EE" w:rsidRPr="00C360A6">
        <w:t>–</w:t>
      </w:r>
      <w:r w:rsidRPr="00C360A6">
        <w:t xml:space="preserve"> local caf</w:t>
      </w:r>
      <w:r w:rsidR="005907E8" w:rsidRPr="00C360A6">
        <w:t>é</w:t>
      </w:r>
      <w:r w:rsidRPr="00C360A6">
        <w:t>s supporting social connection</w:t>
      </w:r>
    </w:p>
    <w:p w14:paraId="501FFF0C" w14:textId="3F21CEA2" w:rsidR="009E6793" w:rsidRPr="00C360A6" w:rsidRDefault="009E6793" w:rsidP="00B743FD">
      <w:pPr>
        <w:pStyle w:val="Bullet1"/>
      </w:pPr>
      <w:r w:rsidRPr="00C360A6">
        <w:t>digital inclusion (</w:t>
      </w:r>
      <w:r w:rsidR="006C058B" w:rsidRPr="00C360A6">
        <w:t>i</w:t>
      </w:r>
      <w:r w:rsidRPr="00C360A6">
        <w:t xml:space="preserve">nner </w:t>
      </w:r>
      <w:r w:rsidR="006C058B" w:rsidRPr="00C360A6">
        <w:t>m</w:t>
      </w:r>
      <w:r w:rsidRPr="00C360A6">
        <w:t>etro)</w:t>
      </w:r>
      <w:r w:rsidR="001547EE" w:rsidRPr="00C360A6">
        <w:t xml:space="preserve"> –</w:t>
      </w:r>
      <w:r w:rsidRPr="00C360A6">
        <w:t xml:space="preserve"> improving digital capability and improving digital literacy</w:t>
      </w:r>
    </w:p>
    <w:p w14:paraId="76884D64" w14:textId="410039F0" w:rsidR="009E6793" w:rsidRPr="00C360A6" w:rsidRDefault="009E6793" w:rsidP="00B743FD">
      <w:pPr>
        <w:pStyle w:val="Bullet1"/>
      </w:pPr>
      <w:r w:rsidRPr="00C360A6">
        <w:t>bilingual health workers (</w:t>
      </w:r>
      <w:r w:rsidR="006C058B" w:rsidRPr="00C360A6">
        <w:t>w</w:t>
      </w:r>
      <w:r w:rsidRPr="00C360A6">
        <w:t>estern) – supporting access to health services for people from non</w:t>
      </w:r>
      <w:r w:rsidR="006C058B" w:rsidRPr="00C360A6">
        <w:t>–</w:t>
      </w:r>
      <w:r w:rsidRPr="00C360A6">
        <w:t>English</w:t>
      </w:r>
      <w:r w:rsidR="006C058B" w:rsidRPr="00C360A6">
        <w:t xml:space="preserve"> </w:t>
      </w:r>
      <w:r w:rsidRPr="00C360A6">
        <w:t>speaking backgrounds.</w:t>
      </w:r>
    </w:p>
    <w:p w14:paraId="660DF3F4" w14:textId="4BE43E79" w:rsidR="009E6793" w:rsidRPr="00C360A6" w:rsidRDefault="006C058B" w:rsidP="0053739A">
      <w:pPr>
        <w:pStyle w:val="Bodyafterbullets"/>
      </w:pPr>
      <w:r w:rsidRPr="00C360A6">
        <w:t>The g</w:t>
      </w:r>
      <w:r w:rsidR="009E6793" w:rsidRPr="00C360A6">
        <w:t>overnment will continue to value feedback from Metropolitan Partnerships and Regional Partnership on the experience and needs of senior Victorians</w:t>
      </w:r>
      <w:r w:rsidRPr="00C360A6">
        <w:t>.</w:t>
      </w:r>
      <w:r w:rsidR="009E6793" w:rsidRPr="00C360A6">
        <w:t xml:space="preserve"> </w:t>
      </w:r>
      <w:r w:rsidRPr="00C360A6">
        <w:t>We will prioritise t</w:t>
      </w:r>
      <w:r w:rsidR="009E6793" w:rsidRPr="00C360A6">
        <w:t xml:space="preserve">heir advice </w:t>
      </w:r>
      <w:r w:rsidRPr="00C360A6">
        <w:t xml:space="preserve">on </w:t>
      </w:r>
      <w:r w:rsidR="009E6793" w:rsidRPr="00C360A6">
        <w:t>design</w:t>
      </w:r>
      <w:r w:rsidRPr="00C360A6">
        <w:t>ing</w:t>
      </w:r>
      <w:r w:rsidR="009E6793" w:rsidRPr="00C360A6">
        <w:t xml:space="preserve"> and deliver</w:t>
      </w:r>
      <w:r w:rsidRPr="00C360A6">
        <w:t>ing</w:t>
      </w:r>
      <w:r w:rsidR="009E6793" w:rsidRPr="00C360A6">
        <w:t xml:space="preserve"> policy and programs affecting senior Victorians. </w:t>
      </w:r>
    </w:p>
    <w:p w14:paraId="4054D6F2" w14:textId="3B5A125E" w:rsidR="009E6793" w:rsidRPr="00C360A6" w:rsidRDefault="009E6793" w:rsidP="0053739A">
      <w:pPr>
        <w:pStyle w:val="Body"/>
      </w:pPr>
      <w:r w:rsidRPr="00C360A6">
        <w:t xml:space="preserve">The </w:t>
      </w:r>
      <w:r w:rsidR="006C058B" w:rsidRPr="00C360A6">
        <w:t>g</w:t>
      </w:r>
      <w:r w:rsidRPr="00C360A6">
        <w:t xml:space="preserve">overnment recognises the </w:t>
      </w:r>
      <w:r w:rsidR="006C058B" w:rsidRPr="00C360A6">
        <w:t>important</w:t>
      </w:r>
      <w:r w:rsidRPr="00C360A6">
        <w:t xml:space="preserve"> role and responsibilities of local government in providing support for people to age in place</w:t>
      </w:r>
      <w:r w:rsidR="006C058B" w:rsidRPr="00C360A6">
        <w:t>. Councils offer</w:t>
      </w:r>
      <w:r w:rsidRPr="00C360A6">
        <w:t xml:space="preserve"> </w:t>
      </w:r>
      <w:r w:rsidR="006C058B" w:rsidRPr="00C360A6">
        <w:t xml:space="preserve">a </w:t>
      </w:r>
      <w:r w:rsidRPr="00C360A6">
        <w:t xml:space="preserve">range of programs and activities available in local communities. Councils </w:t>
      </w:r>
      <w:r w:rsidR="006C058B" w:rsidRPr="00C360A6">
        <w:t xml:space="preserve">also </w:t>
      </w:r>
      <w:r w:rsidRPr="00C360A6">
        <w:t xml:space="preserve">invest across a wide range of services and infrastructure to support older Victorians. The </w:t>
      </w:r>
      <w:r w:rsidR="006C058B" w:rsidRPr="00C360A6">
        <w:t>g</w:t>
      </w:r>
      <w:r w:rsidRPr="00C360A6">
        <w:t xml:space="preserve">overnment will continue to consult with </w:t>
      </w:r>
      <w:r w:rsidR="006C058B" w:rsidRPr="00C360A6">
        <w:t xml:space="preserve">councils </w:t>
      </w:r>
      <w:r w:rsidRPr="00C360A6">
        <w:t>to better understand changes in local demographics and community need.</w:t>
      </w:r>
    </w:p>
    <w:p w14:paraId="11C6CCB2" w14:textId="113FE99F" w:rsidR="009E6793" w:rsidRPr="00C360A6" w:rsidRDefault="009E6793" w:rsidP="0053739A">
      <w:pPr>
        <w:pStyle w:val="Body"/>
      </w:pPr>
      <w:r w:rsidRPr="00C360A6">
        <w:t>Our funded partnerships with peak bodies provide important policy advice on the diverse needs of our older population</w:t>
      </w:r>
      <w:r w:rsidR="006C058B" w:rsidRPr="00C360A6">
        <w:t>. They also provide</w:t>
      </w:r>
      <w:r w:rsidRPr="00C360A6">
        <w:t xml:space="preserve"> information, </w:t>
      </w:r>
      <w:proofErr w:type="gramStart"/>
      <w:r w:rsidRPr="00C360A6">
        <w:t>advocacy</w:t>
      </w:r>
      <w:proofErr w:type="gramEnd"/>
      <w:r w:rsidRPr="00C360A6">
        <w:t xml:space="preserve"> and advice to older people. Funding arrangements with community-based organisations such as Universities of the Third Age, </w:t>
      </w:r>
      <w:r w:rsidR="006846F5" w:rsidRPr="00C360A6">
        <w:t>n</w:t>
      </w:r>
      <w:r w:rsidRPr="00C360A6">
        <w:t xml:space="preserve">eighbourhood </w:t>
      </w:r>
      <w:r w:rsidR="006846F5" w:rsidRPr="00C360A6">
        <w:t>h</w:t>
      </w:r>
      <w:r w:rsidRPr="00C360A6">
        <w:t xml:space="preserve">ouses, </w:t>
      </w:r>
      <w:r w:rsidR="006846F5" w:rsidRPr="00C360A6">
        <w:t>m</w:t>
      </w:r>
      <w:r w:rsidRPr="00C360A6">
        <w:t xml:space="preserve">en’s </w:t>
      </w:r>
      <w:r w:rsidR="006846F5" w:rsidRPr="00C360A6">
        <w:t>s</w:t>
      </w:r>
      <w:r w:rsidRPr="00C360A6">
        <w:t>heds and libraries provide local, community</w:t>
      </w:r>
      <w:r w:rsidR="006C058B" w:rsidRPr="00C360A6">
        <w:t>-</w:t>
      </w:r>
      <w:r w:rsidRPr="00C360A6">
        <w:t xml:space="preserve">driven activities. </w:t>
      </w:r>
    </w:p>
    <w:p w14:paraId="12A786C8" w14:textId="0F00E7B5" w:rsidR="009E6793" w:rsidRPr="00C360A6" w:rsidRDefault="009E6793" w:rsidP="0053739A">
      <w:pPr>
        <w:pStyle w:val="Body"/>
      </w:pPr>
      <w:r w:rsidRPr="00C360A6">
        <w:lastRenderedPageBreak/>
        <w:t xml:space="preserve">We will work with local government, peak </w:t>
      </w:r>
      <w:proofErr w:type="gramStart"/>
      <w:r w:rsidRPr="00C360A6">
        <w:t>bodies</w:t>
      </w:r>
      <w:proofErr w:type="gramEnd"/>
      <w:r w:rsidRPr="00C360A6">
        <w:t xml:space="preserve"> and community-based organisations to deliver the actions in the </w:t>
      </w:r>
      <w:r w:rsidR="001547EE" w:rsidRPr="00C360A6">
        <w:t>a</w:t>
      </w:r>
      <w:r w:rsidRPr="00C360A6">
        <w:t xml:space="preserve">ction </w:t>
      </w:r>
      <w:r w:rsidR="001547EE" w:rsidRPr="00C360A6">
        <w:t>p</w:t>
      </w:r>
      <w:r w:rsidRPr="00C360A6">
        <w:t>lan.</w:t>
      </w:r>
    </w:p>
    <w:p w14:paraId="3FEA7063" w14:textId="33C20727" w:rsidR="009E6793" w:rsidRPr="000C5B56" w:rsidRDefault="000C5B56" w:rsidP="000C5B56">
      <w:pPr>
        <w:pStyle w:val="Heading3"/>
      </w:pPr>
      <w:r w:rsidRPr="00C360AF">
        <w:t xml:space="preserve">1. </w:t>
      </w:r>
      <w:r w:rsidR="009E6793" w:rsidRPr="00C360AF">
        <w:rPr>
          <w:b/>
          <w:bCs w:val="0"/>
        </w:rPr>
        <w:t>Resilient</w:t>
      </w:r>
      <w:r w:rsidR="009F2102" w:rsidRPr="00C360AF">
        <w:rPr>
          <w:b/>
          <w:bCs w:val="0"/>
        </w:rPr>
        <w:t>,</w:t>
      </w:r>
      <w:r w:rsidR="009E6793" w:rsidRPr="00C360AF">
        <w:rPr>
          <w:b/>
          <w:bCs w:val="0"/>
        </w:rPr>
        <w:t xml:space="preserve"> </w:t>
      </w:r>
      <w:r w:rsidR="009F2102" w:rsidRPr="00C360AF">
        <w:rPr>
          <w:b/>
          <w:bCs w:val="0"/>
        </w:rPr>
        <w:t>c</w:t>
      </w:r>
      <w:r w:rsidR="009E6793" w:rsidRPr="00C360AF">
        <w:rPr>
          <w:b/>
          <w:bCs w:val="0"/>
        </w:rPr>
        <w:t xml:space="preserve">onnected </w:t>
      </w:r>
      <w:r w:rsidR="004B235C" w:rsidRPr="00C360AF">
        <w:rPr>
          <w:b/>
          <w:bCs w:val="0"/>
        </w:rPr>
        <w:t>s</w:t>
      </w:r>
      <w:r w:rsidR="009E6793" w:rsidRPr="00C360AF">
        <w:rPr>
          <w:b/>
          <w:bCs w:val="0"/>
        </w:rPr>
        <w:t>eniors</w:t>
      </w:r>
      <w:r w:rsidR="009E6793" w:rsidRPr="00C360AF">
        <w:t xml:space="preserve"> – </w:t>
      </w:r>
      <w:r w:rsidR="000E2FAF">
        <w:t>I</w:t>
      </w:r>
      <w:r w:rsidR="009E6793" w:rsidRPr="00C360AF">
        <w:t>ncreasing</w:t>
      </w:r>
      <w:r w:rsidR="009E6793" w:rsidRPr="000C5B56">
        <w:t xml:space="preserve"> opportunities for </w:t>
      </w:r>
      <w:r w:rsidR="009E6793" w:rsidRPr="000C5B56" w:rsidDel="004079DD">
        <w:t xml:space="preserve">older people </w:t>
      </w:r>
      <w:r w:rsidR="009E6793" w:rsidRPr="000C5B56">
        <w:t>to retain a sense of purpose through social and intergenerational connections</w:t>
      </w:r>
    </w:p>
    <w:p w14:paraId="1FE6559E" w14:textId="77777777" w:rsidR="009E6793" w:rsidRPr="00C360A6" w:rsidRDefault="009E6793" w:rsidP="00B743FD">
      <w:pPr>
        <w:pStyle w:val="Heading4"/>
      </w:pPr>
      <w:r w:rsidRPr="00C360A6">
        <w:t>The importance of social connections</w:t>
      </w:r>
    </w:p>
    <w:p w14:paraId="28CF85D2" w14:textId="11F81445" w:rsidR="00140BE9" w:rsidRPr="00C360A6" w:rsidRDefault="009E6793" w:rsidP="0053739A">
      <w:pPr>
        <w:pStyle w:val="Body"/>
      </w:pPr>
      <w:r w:rsidRPr="00C360A6">
        <w:t xml:space="preserve">Social connection to friends, family and community is vital to everyone’s wellbeing. Many older people </w:t>
      </w:r>
      <w:r w:rsidR="00140BE9" w:rsidRPr="00C360A6">
        <w:t xml:space="preserve">have </w:t>
      </w:r>
      <w:r w:rsidRPr="00C360A6">
        <w:t xml:space="preserve">fulfilling personal relationships through family contact, neighbourliness, volunteering or belonging to organisations and clubs. These can </w:t>
      </w:r>
      <w:r w:rsidR="00140BE9" w:rsidRPr="00C360A6">
        <w:t>improve</w:t>
      </w:r>
      <w:r w:rsidRPr="00C360A6">
        <w:t xml:space="preserve"> the experience of </w:t>
      </w:r>
      <w:r w:rsidR="00140BE9" w:rsidRPr="00C360A6">
        <w:t xml:space="preserve">less </w:t>
      </w:r>
      <w:r w:rsidRPr="00C360A6">
        <w:t>social contact in later life due to</w:t>
      </w:r>
      <w:r w:rsidR="00140BE9" w:rsidRPr="00C360A6">
        <w:t>:</w:t>
      </w:r>
      <w:r w:rsidRPr="00C360A6">
        <w:t xml:space="preserve"> </w:t>
      </w:r>
    </w:p>
    <w:p w14:paraId="7F426014" w14:textId="12A46F2F" w:rsidR="00140BE9" w:rsidRPr="00C360A6" w:rsidRDefault="00140BE9" w:rsidP="006F4C32">
      <w:pPr>
        <w:pStyle w:val="Bullet1"/>
      </w:pPr>
      <w:r w:rsidRPr="00C360A6">
        <w:t>r</w:t>
      </w:r>
      <w:r w:rsidR="009E6793" w:rsidRPr="00C360A6">
        <w:t>etirement</w:t>
      </w:r>
    </w:p>
    <w:p w14:paraId="0B528BB0" w14:textId="39E37C25" w:rsidR="00140BE9" w:rsidRPr="00C360A6" w:rsidRDefault="009E6793" w:rsidP="006F4C32">
      <w:pPr>
        <w:pStyle w:val="Bullet1"/>
      </w:pPr>
      <w:r w:rsidRPr="00C360A6">
        <w:t>loss of family connections</w:t>
      </w:r>
    </w:p>
    <w:p w14:paraId="60066F1C" w14:textId="671E6C68" w:rsidR="00140BE9" w:rsidRPr="00C360A6" w:rsidRDefault="009E6793" w:rsidP="006F4C32">
      <w:pPr>
        <w:pStyle w:val="Bullet1"/>
      </w:pPr>
      <w:r w:rsidRPr="00C360A6">
        <w:t>death of a partner</w:t>
      </w:r>
    </w:p>
    <w:p w14:paraId="42974E69" w14:textId="1531D13D" w:rsidR="00140BE9" w:rsidRPr="00C360A6" w:rsidRDefault="009E6793" w:rsidP="006F4C32">
      <w:pPr>
        <w:pStyle w:val="Bullet1"/>
      </w:pPr>
      <w:r w:rsidRPr="00C360A6">
        <w:t>onset of illness</w:t>
      </w:r>
    </w:p>
    <w:p w14:paraId="73DBE180" w14:textId="77777777" w:rsidR="00140BE9" w:rsidRPr="00C360A6" w:rsidRDefault="009E6793" w:rsidP="006F4C32">
      <w:pPr>
        <w:pStyle w:val="Bullet1"/>
      </w:pPr>
      <w:r w:rsidRPr="00C360A6">
        <w:t>entry to residential aged care</w:t>
      </w:r>
    </w:p>
    <w:p w14:paraId="626F4518" w14:textId="3334C383" w:rsidR="009E6793" w:rsidRPr="00C360A6" w:rsidRDefault="009E6793" w:rsidP="006F4C32">
      <w:pPr>
        <w:pStyle w:val="Bullet1"/>
      </w:pPr>
      <w:r w:rsidRPr="00C360A6">
        <w:t xml:space="preserve">loss of mobility. </w:t>
      </w:r>
    </w:p>
    <w:p w14:paraId="61BA9A7C" w14:textId="1E364268" w:rsidR="009E6793" w:rsidRPr="00C360A6" w:rsidRDefault="003725D7" w:rsidP="006F4C32">
      <w:pPr>
        <w:pStyle w:val="Bodyafterbullets"/>
      </w:pPr>
      <w:r w:rsidRPr="00C360A6">
        <w:t>L</w:t>
      </w:r>
      <w:r w:rsidR="009E6793" w:rsidRPr="00C360A6">
        <w:t xml:space="preserve">oneliness and social isolation </w:t>
      </w:r>
      <w:r w:rsidRPr="00C360A6">
        <w:t xml:space="preserve">can </w:t>
      </w:r>
      <w:r w:rsidR="009E6793" w:rsidRPr="00C360A6">
        <w:t xml:space="preserve">severely affect physical health and mental wellbeing. Loneliness in older people </w:t>
      </w:r>
      <w:r w:rsidRPr="00C360A6">
        <w:t>can lead</w:t>
      </w:r>
      <w:r w:rsidR="009E6793" w:rsidRPr="00C360A6">
        <w:t xml:space="preserve"> to depression, </w:t>
      </w:r>
      <w:r w:rsidRPr="00C360A6">
        <w:t xml:space="preserve">mental </w:t>
      </w:r>
      <w:r w:rsidR="009E6793" w:rsidRPr="00C360A6">
        <w:t xml:space="preserve">impairment, </w:t>
      </w:r>
      <w:r w:rsidRPr="00C360A6">
        <w:t xml:space="preserve">heart </w:t>
      </w:r>
      <w:r w:rsidR="009E6793" w:rsidRPr="00C360A6">
        <w:t xml:space="preserve">disease and </w:t>
      </w:r>
      <w:r w:rsidRPr="00C360A6">
        <w:t xml:space="preserve">high </w:t>
      </w:r>
      <w:r w:rsidR="009E6793" w:rsidRPr="00C360A6">
        <w:t xml:space="preserve">blood pressure. These conditions can </w:t>
      </w:r>
      <w:r w:rsidRPr="00C360A6">
        <w:t xml:space="preserve">mean </w:t>
      </w:r>
      <w:r w:rsidR="006A4975" w:rsidRPr="00C360A6">
        <w:t xml:space="preserve">admitting </w:t>
      </w:r>
      <w:r w:rsidRPr="00C360A6">
        <w:t xml:space="preserve">a person </w:t>
      </w:r>
      <w:r w:rsidR="009E6793" w:rsidRPr="00C360A6">
        <w:t xml:space="preserve">to acute health services or aged care </w:t>
      </w:r>
      <w:r w:rsidRPr="00C360A6">
        <w:t xml:space="preserve">too early. Health concerns can also mean more visits to </w:t>
      </w:r>
      <w:r w:rsidR="009E6793" w:rsidRPr="00C360A6">
        <w:t xml:space="preserve">emergency departments. Loneliness can also lead to risk-taking behaviours such as alcohol and drug abuse </w:t>
      </w:r>
      <w:r w:rsidRPr="00C360A6">
        <w:t xml:space="preserve">and </w:t>
      </w:r>
      <w:r w:rsidR="009E6793" w:rsidRPr="00C360A6">
        <w:t>further isolation.</w:t>
      </w:r>
    </w:p>
    <w:p w14:paraId="4EC56F0C" w14:textId="30C5CFD7" w:rsidR="009E6793" w:rsidRPr="00C360A6" w:rsidRDefault="009E6793" w:rsidP="0053739A">
      <w:pPr>
        <w:pStyle w:val="Body"/>
      </w:pPr>
      <w:r w:rsidRPr="007F0977">
        <w:t>People who are socially engaged ar</w:t>
      </w:r>
      <w:r w:rsidRPr="003B6BE1">
        <w:t>e happier and healthier than those who are not</w:t>
      </w:r>
      <w:r w:rsidRPr="007F0977">
        <w:t>.</w:t>
      </w:r>
      <w:r w:rsidRPr="00C360A6">
        <w:t xml:space="preserve"> They have better levels of health and wellbeing that, in turn, </w:t>
      </w:r>
      <w:r w:rsidR="003725D7" w:rsidRPr="00C360A6">
        <w:t>allow ongoing</w:t>
      </w:r>
      <w:r w:rsidRPr="00C360A6">
        <w:t xml:space="preserve"> social activity and wellbeing.</w:t>
      </w:r>
    </w:p>
    <w:p w14:paraId="0741FDB3" w14:textId="22759AF6" w:rsidR="009E6793" w:rsidRPr="00C360A6" w:rsidRDefault="009E6793" w:rsidP="0053739A">
      <w:pPr>
        <w:pStyle w:val="Body"/>
      </w:pPr>
      <w:r w:rsidRPr="00C360A6">
        <w:t>Older people told the Commissioner for Senior Victorians</w:t>
      </w:r>
      <w:r w:rsidR="003725D7" w:rsidRPr="00C360A6">
        <w:t xml:space="preserve"> that</w:t>
      </w:r>
      <w:r w:rsidRPr="00C360A6">
        <w:t xml:space="preserve"> volunteering and belonging to clubs or community groups is vital for having meaning and purpose in life</w:t>
      </w:r>
      <w:r w:rsidR="003725D7" w:rsidRPr="00C360A6">
        <w:t>. It also leads to</w:t>
      </w:r>
      <w:r w:rsidRPr="00C360A6">
        <w:t xml:space="preserve"> social connections</w:t>
      </w:r>
      <w:r w:rsidR="003725D7" w:rsidRPr="00C360A6">
        <w:t xml:space="preserve"> that they can sustain</w:t>
      </w:r>
      <w:r w:rsidRPr="00C360A6">
        <w:t>. During our extended lockdown periods, many community-based organisations stopped operating</w:t>
      </w:r>
      <w:r w:rsidR="003725D7" w:rsidRPr="00C360A6">
        <w:t>. This mean</w:t>
      </w:r>
      <w:r w:rsidR="00234E79" w:rsidRPr="00C360A6">
        <w:t>t</w:t>
      </w:r>
      <w:r w:rsidR="003725D7" w:rsidRPr="00C360A6">
        <w:t xml:space="preserve"> they</w:t>
      </w:r>
      <w:r w:rsidRPr="00C360A6">
        <w:t xml:space="preserve"> lost </w:t>
      </w:r>
      <w:r w:rsidRPr="003B6BE1">
        <w:t>volunteers</w:t>
      </w:r>
      <w:r w:rsidR="00B26F5C" w:rsidRPr="003B6BE1">
        <w:t xml:space="preserve"> and</w:t>
      </w:r>
      <w:r w:rsidRPr="003B6BE1">
        <w:t xml:space="preserve"> </w:t>
      </w:r>
      <w:proofErr w:type="gramStart"/>
      <w:r w:rsidRPr="003B6BE1">
        <w:t>members</w:t>
      </w:r>
      <w:r w:rsidR="00661E2E" w:rsidRPr="003B6BE1">
        <w:t>,</w:t>
      </w:r>
      <w:r w:rsidRPr="003B6BE1">
        <w:t xml:space="preserve"> and</w:t>
      </w:r>
      <w:proofErr w:type="gramEnd"/>
      <w:r w:rsidRPr="003B6BE1">
        <w:t xml:space="preserve"> </w:t>
      </w:r>
      <w:r w:rsidR="003725D7" w:rsidRPr="003B6BE1">
        <w:t xml:space="preserve">stopped running </w:t>
      </w:r>
      <w:r w:rsidRPr="003B6BE1">
        <w:t>activities. Helping older people and</w:t>
      </w:r>
      <w:r w:rsidRPr="00C360A6">
        <w:t xml:space="preserve"> community organisations </w:t>
      </w:r>
      <w:r w:rsidR="00E61C02" w:rsidRPr="00C360A6">
        <w:t xml:space="preserve">get back to offering </w:t>
      </w:r>
      <w:r w:rsidRPr="00C360A6">
        <w:t xml:space="preserve">social activities will </w:t>
      </w:r>
      <w:r w:rsidR="00E61C02" w:rsidRPr="00C360A6">
        <w:t xml:space="preserve">help </w:t>
      </w:r>
      <w:r w:rsidRPr="00C360A6">
        <w:t>the wellbeing of all Victorians.</w:t>
      </w:r>
    </w:p>
    <w:tbl>
      <w:tblPr>
        <w:tblStyle w:val="TableGrid"/>
        <w:tblW w:w="5000" w:type="pct"/>
        <w:tblLook w:val="0620" w:firstRow="1" w:lastRow="0" w:firstColumn="0" w:lastColumn="0" w:noHBand="1" w:noVBand="1"/>
      </w:tblPr>
      <w:tblGrid>
        <w:gridCol w:w="4571"/>
        <w:gridCol w:w="1332"/>
        <w:gridCol w:w="3385"/>
      </w:tblGrid>
      <w:tr w:rsidR="009E6793" w:rsidRPr="00C360A6" w14:paraId="5412E29C" w14:textId="77777777" w:rsidTr="003122D9">
        <w:trPr>
          <w:tblHeader/>
        </w:trPr>
        <w:tc>
          <w:tcPr>
            <w:tcW w:w="2461" w:type="pct"/>
          </w:tcPr>
          <w:p w14:paraId="0229AE5C" w14:textId="2843434F" w:rsidR="009E6793" w:rsidRPr="00C360A6" w:rsidRDefault="009E6793" w:rsidP="0053739A">
            <w:pPr>
              <w:pStyle w:val="Tablecolhead"/>
            </w:pPr>
            <w:bookmarkStart w:id="26" w:name="_Hlk92206453"/>
            <w:r w:rsidRPr="00C360A6">
              <w:t>What the government will deliver</w:t>
            </w:r>
          </w:p>
        </w:tc>
        <w:tc>
          <w:tcPr>
            <w:tcW w:w="717" w:type="pct"/>
          </w:tcPr>
          <w:p w14:paraId="1412BDC4" w14:textId="77777777" w:rsidR="009E6793" w:rsidRPr="00C360A6" w:rsidRDefault="009E6793" w:rsidP="0053739A">
            <w:pPr>
              <w:pStyle w:val="Tablecolhead"/>
            </w:pPr>
            <w:r w:rsidRPr="00C360A6">
              <w:t>When</w:t>
            </w:r>
          </w:p>
        </w:tc>
        <w:tc>
          <w:tcPr>
            <w:tcW w:w="1822" w:type="pct"/>
          </w:tcPr>
          <w:p w14:paraId="2E06C07A" w14:textId="77777777" w:rsidR="009E6793" w:rsidRPr="00C360A6" w:rsidRDefault="009E6793" w:rsidP="0053739A">
            <w:pPr>
              <w:pStyle w:val="Tablecolhead"/>
            </w:pPr>
            <w:r w:rsidRPr="00C360A6">
              <w:t>Impact</w:t>
            </w:r>
          </w:p>
        </w:tc>
      </w:tr>
      <w:tr w:rsidR="009E6793" w:rsidRPr="00C360A6" w14:paraId="52776C4A" w14:textId="77777777" w:rsidTr="003122D9">
        <w:tc>
          <w:tcPr>
            <w:tcW w:w="2461" w:type="pct"/>
          </w:tcPr>
          <w:p w14:paraId="68DDDF68" w14:textId="6E30AC80" w:rsidR="009E6793" w:rsidRPr="00C360A6" w:rsidRDefault="00E62A78" w:rsidP="0053739A">
            <w:pPr>
              <w:pStyle w:val="Tabletext"/>
            </w:pPr>
            <w:r w:rsidRPr="00C360A6">
              <w:rPr>
                <w:b/>
                <w:bCs/>
              </w:rPr>
              <w:t xml:space="preserve">More </w:t>
            </w:r>
            <w:r w:rsidR="009E6793" w:rsidRPr="00C360A6">
              <w:rPr>
                <w:b/>
                <w:bCs/>
              </w:rPr>
              <w:t>volunteering opportunities</w:t>
            </w:r>
            <w:r w:rsidR="009E6793" w:rsidRPr="00C360A6">
              <w:t xml:space="preserve"> for seniors</w:t>
            </w:r>
            <w:r w:rsidRPr="00C360A6">
              <w:t>.</w:t>
            </w:r>
            <w:r w:rsidR="009E6793" w:rsidRPr="00C360A6">
              <w:t xml:space="preserve"> </w:t>
            </w:r>
            <w:r w:rsidRPr="00C360A6">
              <w:t>We will</w:t>
            </w:r>
            <w:r w:rsidR="009E6793" w:rsidRPr="00C360A6">
              <w:t xml:space="preserve"> work with the volunteer sector to deliver meaningful and flexible volunteering </w:t>
            </w:r>
            <w:r w:rsidRPr="00C360A6">
              <w:t xml:space="preserve">roles </w:t>
            </w:r>
            <w:r w:rsidR="009E6793" w:rsidRPr="00C360A6">
              <w:t>in safe, age-</w:t>
            </w:r>
            <w:proofErr w:type="gramStart"/>
            <w:r w:rsidR="009E6793" w:rsidRPr="00C360A6">
              <w:t>friendly</w:t>
            </w:r>
            <w:proofErr w:type="gramEnd"/>
            <w:r w:rsidR="009E6793" w:rsidRPr="00C360A6">
              <w:t xml:space="preserve"> and inclusive </w:t>
            </w:r>
            <w:r w:rsidRPr="00C360A6">
              <w:t>spaces</w:t>
            </w:r>
            <w:r w:rsidR="009E6793" w:rsidRPr="00C360A6">
              <w:t>.</w:t>
            </w:r>
          </w:p>
        </w:tc>
        <w:tc>
          <w:tcPr>
            <w:tcW w:w="717" w:type="pct"/>
          </w:tcPr>
          <w:p w14:paraId="22D08FB2" w14:textId="4D725C34" w:rsidR="009E6793" w:rsidRPr="00C360A6" w:rsidRDefault="009E6793" w:rsidP="0053739A">
            <w:pPr>
              <w:pStyle w:val="Tabletext"/>
            </w:pPr>
            <w:r w:rsidRPr="00C360A6">
              <w:t>From 2022</w:t>
            </w:r>
          </w:p>
        </w:tc>
        <w:tc>
          <w:tcPr>
            <w:tcW w:w="1822" w:type="pct"/>
          </w:tcPr>
          <w:p w14:paraId="36255D42" w14:textId="313B0B61" w:rsidR="009E6793" w:rsidRPr="00C360A6" w:rsidRDefault="003175C7" w:rsidP="0053739A">
            <w:pPr>
              <w:pStyle w:val="Tabletext"/>
            </w:pPr>
            <w:r w:rsidRPr="00C360A6">
              <w:t>More people</w:t>
            </w:r>
            <w:r w:rsidR="009E6793" w:rsidRPr="00C360A6">
              <w:t xml:space="preserve"> volunteer</w:t>
            </w:r>
          </w:p>
        </w:tc>
      </w:tr>
      <w:bookmarkEnd w:id="26"/>
      <w:tr w:rsidR="009E6793" w:rsidRPr="00C360A6" w14:paraId="12AAD29E" w14:textId="77777777" w:rsidTr="003122D9">
        <w:tc>
          <w:tcPr>
            <w:tcW w:w="2461" w:type="pct"/>
          </w:tcPr>
          <w:p w14:paraId="01C646AE" w14:textId="7090B48B" w:rsidR="009E6793" w:rsidRPr="00C360A6" w:rsidRDefault="009E6793" w:rsidP="0053739A">
            <w:pPr>
              <w:pStyle w:val="Tabletext"/>
            </w:pPr>
            <w:r w:rsidRPr="00C360A6">
              <w:t xml:space="preserve">Consideration of the needs of </w:t>
            </w:r>
            <w:r w:rsidRPr="00C360A6">
              <w:rPr>
                <w:b/>
              </w:rPr>
              <w:t>older migrants and refugees</w:t>
            </w:r>
            <w:r w:rsidR="00E62A78" w:rsidRPr="00C360A6">
              <w:t xml:space="preserve">. This </w:t>
            </w:r>
            <w:r w:rsidRPr="00C360A6">
              <w:t>follow</w:t>
            </w:r>
            <w:r w:rsidR="00E62A78" w:rsidRPr="00C360A6">
              <w:t>s</w:t>
            </w:r>
            <w:r w:rsidRPr="00C360A6">
              <w:t xml:space="preserve"> the report of the Parliamentary Inquiry </w:t>
            </w:r>
            <w:r w:rsidRPr="00C360A6">
              <w:lastRenderedPageBreak/>
              <w:t>into support for older Victorians from migrant and refugee backgrounds.</w:t>
            </w:r>
          </w:p>
        </w:tc>
        <w:tc>
          <w:tcPr>
            <w:tcW w:w="717" w:type="pct"/>
          </w:tcPr>
          <w:p w14:paraId="2E923DE7" w14:textId="7A6B1C39" w:rsidR="009E6793" w:rsidRPr="00C360A6" w:rsidRDefault="009E6793" w:rsidP="0053739A">
            <w:pPr>
              <w:pStyle w:val="Tabletext"/>
            </w:pPr>
            <w:r w:rsidRPr="00C360A6">
              <w:lastRenderedPageBreak/>
              <w:t>2022</w:t>
            </w:r>
            <w:r w:rsidR="0032791F" w:rsidRPr="00C360A6">
              <w:t>–</w:t>
            </w:r>
            <w:r w:rsidRPr="00C360A6">
              <w:t>23</w:t>
            </w:r>
          </w:p>
        </w:tc>
        <w:tc>
          <w:tcPr>
            <w:tcW w:w="1822" w:type="pct"/>
          </w:tcPr>
          <w:p w14:paraId="3B5DA5B5" w14:textId="271C6BE2" w:rsidR="009E6793" w:rsidRPr="00C360A6" w:rsidRDefault="00FB4D59" w:rsidP="0053739A">
            <w:pPr>
              <w:pStyle w:val="Tabletext"/>
            </w:pPr>
            <w:r w:rsidRPr="00C360A6">
              <w:t>The n</w:t>
            </w:r>
            <w:r w:rsidR="009E6793" w:rsidRPr="00C360A6">
              <w:t xml:space="preserve">eeds of older migrants and refugees are identified and </w:t>
            </w:r>
            <w:r w:rsidR="003175C7" w:rsidRPr="00C360A6">
              <w:t>explored</w:t>
            </w:r>
          </w:p>
        </w:tc>
      </w:tr>
      <w:tr w:rsidR="009E6793" w:rsidRPr="00C360A6" w14:paraId="355B21AA" w14:textId="77777777" w:rsidTr="003122D9">
        <w:tc>
          <w:tcPr>
            <w:tcW w:w="2461" w:type="pct"/>
          </w:tcPr>
          <w:p w14:paraId="549C9934" w14:textId="5E923CBD" w:rsidR="009E6793" w:rsidRPr="00C360A6" w:rsidRDefault="009E6793" w:rsidP="0053739A">
            <w:pPr>
              <w:pStyle w:val="Tabletext"/>
            </w:pPr>
            <w:r w:rsidRPr="00C360A6">
              <w:t>Under the Victorian Government</w:t>
            </w:r>
            <w:r w:rsidR="00B36584" w:rsidRPr="00C360A6">
              <w:t>’s</w:t>
            </w:r>
            <w:r w:rsidRPr="00C360A6">
              <w:t xml:space="preserve"> LGBTIQ+ and </w:t>
            </w:r>
            <w:r w:rsidR="00B36584" w:rsidRPr="00C360A6">
              <w:t>y</w:t>
            </w:r>
            <w:r w:rsidRPr="00C360A6">
              <w:t xml:space="preserve">outh </w:t>
            </w:r>
            <w:r w:rsidR="00B36584" w:rsidRPr="00C360A6">
              <w:t>s</w:t>
            </w:r>
            <w:r w:rsidRPr="00C360A6">
              <w:t>trateg</w:t>
            </w:r>
            <w:r w:rsidR="00B36584" w:rsidRPr="00C360A6">
              <w:t>ies</w:t>
            </w:r>
            <w:r w:rsidRPr="00C360A6">
              <w:t>, support</w:t>
            </w:r>
            <w:r w:rsidRPr="00C360A6">
              <w:rPr>
                <w:b/>
              </w:rPr>
              <w:t xml:space="preserve"> </w:t>
            </w:r>
            <w:r w:rsidRPr="00C360A6">
              <w:rPr>
                <w:bCs/>
              </w:rPr>
              <w:t>opportunities</w:t>
            </w:r>
            <w:r w:rsidRPr="00C360A6">
              <w:t xml:space="preserve"> for young and older </w:t>
            </w:r>
            <w:r w:rsidRPr="00C360A6">
              <w:rPr>
                <w:b/>
                <w:bCs/>
              </w:rPr>
              <w:t>LGBTIQ+ people</w:t>
            </w:r>
            <w:r w:rsidRPr="00C360A6">
              <w:t xml:space="preserve"> </w:t>
            </w:r>
            <w:r w:rsidRPr="00C360A6">
              <w:rPr>
                <w:b/>
              </w:rPr>
              <w:t>to foster connections</w:t>
            </w:r>
            <w:r w:rsidRPr="00C360A6">
              <w:t xml:space="preserve"> with peers and LGBTIQ+ communities. </w:t>
            </w:r>
          </w:p>
        </w:tc>
        <w:tc>
          <w:tcPr>
            <w:tcW w:w="717" w:type="pct"/>
            <w:hideMark/>
          </w:tcPr>
          <w:p w14:paraId="16AE4FB0" w14:textId="380005FC" w:rsidR="009E6793" w:rsidRPr="00C360A6" w:rsidRDefault="009E6793" w:rsidP="0053739A">
            <w:pPr>
              <w:pStyle w:val="Tabletext"/>
            </w:pPr>
            <w:r w:rsidRPr="00C360A6">
              <w:t>2022</w:t>
            </w:r>
            <w:r w:rsidR="0032791F" w:rsidRPr="00C360A6">
              <w:t>–2</w:t>
            </w:r>
            <w:r w:rsidR="006F6B60">
              <w:t>5</w:t>
            </w:r>
            <w:r w:rsidR="0032791F" w:rsidRPr="00C360A6">
              <w:t xml:space="preserve"> </w:t>
            </w:r>
          </w:p>
        </w:tc>
        <w:tc>
          <w:tcPr>
            <w:tcW w:w="1822" w:type="pct"/>
            <w:hideMark/>
          </w:tcPr>
          <w:p w14:paraId="3833C6B7" w14:textId="53DCA5CC" w:rsidR="009E6793" w:rsidRPr="00C360A6" w:rsidRDefault="003175C7" w:rsidP="0053739A">
            <w:pPr>
              <w:pStyle w:val="Tabletext"/>
            </w:pPr>
            <w:r w:rsidRPr="00C360A6">
              <w:t xml:space="preserve">More </w:t>
            </w:r>
            <w:r w:rsidR="009E6793" w:rsidRPr="00C360A6">
              <w:t xml:space="preserve">social connection across the LGBTIQ+ community and </w:t>
            </w:r>
            <w:r w:rsidRPr="00C360A6">
              <w:t xml:space="preserve">better </w:t>
            </w:r>
            <w:r w:rsidR="009E6793" w:rsidRPr="00C360A6">
              <w:t>health outcomes</w:t>
            </w:r>
          </w:p>
        </w:tc>
      </w:tr>
      <w:tr w:rsidR="009E6793" w:rsidRPr="00C360A6" w14:paraId="337F6916" w14:textId="77777777" w:rsidTr="003122D9">
        <w:tc>
          <w:tcPr>
            <w:tcW w:w="2461" w:type="pct"/>
          </w:tcPr>
          <w:p w14:paraId="70C22C7B" w14:textId="702D43F5" w:rsidR="009E6793" w:rsidRPr="00C360A6" w:rsidRDefault="009E6793" w:rsidP="0053739A">
            <w:pPr>
              <w:pStyle w:val="Tabletext"/>
            </w:pPr>
            <w:r w:rsidRPr="00C360A6">
              <w:t>Continu</w:t>
            </w:r>
            <w:r w:rsidR="003352EB" w:rsidRPr="00C360A6">
              <w:t>e to</w:t>
            </w:r>
            <w:r w:rsidRPr="00C360A6">
              <w:t xml:space="preserve"> </w:t>
            </w:r>
            <w:r w:rsidRPr="00C360A6">
              <w:rPr>
                <w:b/>
                <w:bCs/>
              </w:rPr>
              <w:t xml:space="preserve">expand and reimagine </w:t>
            </w:r>
            <w:r w:rsidR="003352EB" w:rsidRPr="00C360A6">
              <w:rPr>
                <w:b/>
                <w:bCs/>
              </w:rPr>
              <w:t xml:space="preserve">the </w:t>
            </w:r>
            <w:r w:rsidRPr="00C360A6">
              <w:rPr>
                <w:b/>
                <w:bCs/>
              </w:rPr>
              <w:t>Victorian Seniors Festival</w:t>
            </w:r>
            <w:r w:rsidR="003352EB" w:rsidRPr="00C360A6">
              <w:t xml:space="preserve">. </w:t>
            </w:r>
            <w:r w:rsidR="00FB4D59" w:rsidRPr="00C360A6">
              <w:t>This i</w:t>
            </w:r>
            <w:r w:rsidR="003352EB" w:rsidRPr="00C360A6">
              <w:t>nclude</w:t>
            </w:r>
            <w:r w:rsidR="00FB4D59" w:rsidRPr="00C360A6">
              <w:t>s</w:t>
            </w:r>
            <w:r w:rsidRPr="00C360A6">
              <w:t xml:space="preserve"> online performances and the Recognising Senior Victorians </w:t>
            </w:r>
            <w:r w:rsidR="003352EB" w:rsidRPr="00C360A6">
              <w:t>L</w:t>
            </w:r>
            <w:r w:rsidRPr="00C360A6">
              <w:t xml:space="preserve">iving in </w:t>
            </w:r>
            <w:r w:rsidR="003352EB" w:rsidRPr="00C360A6">
              <w:t>A</w:t>
            </w:r>
            <w:r w:rsidRPr="00C360A6">
              <w:t xml:space="preserve">ged </w:t>
            </w:r>
            <w:r w:rsidR="003352EB" w:rsidRPr="00C360A6">
              <w:t>C</w:t>
            </w:r>
            <w:r w:rsidRPr="00C360A6">
              <w:t>are</w:t>
            </w:r>
            <w:r w:rsidRPr="00C360A6">
              <w:rPr>
                <w:i/>
                <w:iCs/>
              </w:rPr>
              <w:t xml:space="preserve"> </w:t>
            </w:r>
            <w:r w:rsidRPr="00C360A6">
              <w:t>program</w:t>
            </w:r>
            <w:r w:rsidR="003352EB" w:rsidRPr="00C360A6">
              <w:t>. Th</w:t>
            </w:r>
            <w:r w:rsidR="00FB4D59" w:rsidRPr="00C360A6">
              <w:t>e</w:t>
            </w:r>
            <w:r w:rsidR="003352EB" w:rsidRPr="00C360A6">
              <w:t xml:space="preserve"> program</w:t>
            </w:r>
            <w:r w:rsidRPr="00C360A6">
              <w:t xml:space="preserve"> reaches out to aged care residents to record and post their life stories on Seniors Online.</w:t>
            </w:r>
          </w:p>
        </w:tc>
        <w:tc>
          <w:tcPr>
            <w:tcW w:w="717" w:type="pct"/>
          </w:tcPr>
          <w:p w14:paraId="64314EB6" w14:textId="3B36E6B3" w:rsidR="009E6793" w:rsidRPr="00C360A6" w:rsidRDefault="009E6793" w:rsidP="0053739A">
            <w:pPr>
              <w:pStyle w:val="Tabletext"/>
            </w:pPr>
            <w:r w:rsidRPr="00C360A6">
              <w:t>2022–</w:t>
            </w:r>
            <w:r w:rsidR="0032791F" w:rsidRPr="00C360A6">
              <w:t>2</w:t>
            </w:r>
            <w:r w:rsidR="006F6B60">
              <w:t>4</w:t>
            </w:r>
            <w:r w:rsidR="0032791F" w:rsidRPr="00C360A6">
              <w:t xml:space="preserve"> </w:t>
            </w:r>
          </w:p>
        </w:tc>
        <w:tc>
          <w:tcPr>
            <w:tcW w:w="1822" w:type="pct"/>
          </w:tcPr>
          <w:p w14:paraId="52A588D6" w14:textId="13950AFD" w:rsidR="009E6793" w:rsidRPr="00C360A6" w:rsidRDefault="009E6793" w:rsidP="0053739A">
            <w:pPr>
              <w:pStyle w:val="Tabletext"/>
            </w:pPr>
            <w:r w:rsidRPr="00C360A6">
              <w:t>Greater recognition and entertainment for aged care residents</w:t>
            </w:r>
          </w:p>
        </w:tc>
      </w:tr>
      <w:tr w:rsidR="009E6793" w:rsidRPr="00C360A6" w14:paraId="4BD7AE20" w14:textId="77777777" w:rsidTr="003122D9">
        <w:tc>
          <w:tcPr>
            <w:tcW w:w="2461" w:type="pct"/>
            <w:shd w:val="clear" w:color="auto" w:fill="auto"/>
          </w:tcPr>
          <w:p w14:paraId="5641AC9C" w14:textId="5E110C30" w:rsidR="000E0DE2" w:rsidRPr="00C360A6" w:rsidRDefault="009E6793" w:rsidP="0053739A">
            <w:pPr>
              <w:pStyle w:val="Tabletext"/>
            </w:pPr>
            <w:r w:rsidRPr="00C360A6">
              <w:t xml:space="preserve">An education campaign across the Victorian </w:t>
            </w:r>
            <w:r w:rsidR="000E0DE2" w:rsidRPr="00C360A6">
              <w:t>p</w:t>
            </w:r>
            <w:r w:rsidRPr="00C360A6">
              <w:t xml:space="preserve">ublic </w:t>
            </w:r>
            <w:r w:rsidR="000E0DE2" w:rsidRPr="00C360A6">
              <w:t>s</w:t>
            </w:r>
            <w:r w:rsidRPr="00C360A6">
              <w:t xml:space="preserve">ervice for the recently launched Public Engagement Framework (PEF). The PEF has two domains: </w:t>
            </w:r>
          </w:p>
          <w:p w14:paraId="1DA3D1E9" w14:textId="51D80E1A" w:rsidR="000E0DE2" w:rsidRPr="00C360A6" w:rsidRDefault="009E6793" w:rsidP="006F4C32">
            <w:pPr>
              <w:pStyle w:val="Tablebullet1"/>
              <w:rPr>
                <w:b/>
                <w:bCs/>
              </w:rPr>
            </w:pPr>
            <w:r w:rsidRPr="00C360A6">
              <w:rPr>
                <w:b/>
                <w:bCs/>
              </w:rPr>
              <w:t>Build stronger relationships and engaged communities</w:t>
            </w:r>
          </w:p>
          <w:p w14:paraId="2B9DE47C" w14:textId="6621115C" w:rsidR="009E6793" w:rsidRPr="00C360A6" w:rsidRDefault="009E6793" w:rsidP="006F4C32">
            <w:pPr>
              <w:pStyle w:val="Tablebullet1"/>
            </w:pPr>
            <w:r w:rsidRPr="00C360A6">
              <w:rPr>
                <w:b/>
                <w:bCs/>
              </w:rPr>
              <w:t>A public sector that engages effectively with Victorians</w:t>
            </w:r>
            <w:r w:rsidRPr="00C360A6">
              <w:t>.</w:t>
            </w:r>
          </w:p>
        </w:tc>
        <w:tc>
          <w:tcPr>
            <w:tcW w:w="717" w:type="pct"/>
            <w:shd w:val="clear" w:color="auto" w:fill="auto"/>
          </w:tcPr>
          <w:p w14:paraId="63532FB4" w14:textId="21F934C8" w:rsidR="009E6793" w:rsidRPr="00C360A6" w:rsidRDefault="009E6793" w:rsidP="0053739A">
            <w:pPr>
              <w:pStyle w:val="Tabletext"/>
            </w:pPr>
            <w:r w:rsidRPr="00C360A6">
              <w:t>2022–23</w:t>
            </w:r>
          </w:p>
        </w:tc>
        <w:tc>
          <w:tcPr>
            <w:tcW w:w="1822" w:type="pct"/>
            <w:shd w:val="clear" w:color="auto" w:fill="auto"/>
          </w:tcPr>
          <w:p w14:paraId="0959F13F" w14:textId="4971641D" w:rsidR="009E6793" w:rsidRPr="00C360A6" w:rsidRDefault="009E6793" w:rsidP="0053739A">
            <w:pPr>
              <w:pStyle w:val="Tabletext"/>
              <w:rPr>
                <w:rFonts w:ascii="Times New Roman" w:hAnsi="Times New Roman"/>
                <w:szCs w:val="24"/>
                <w:lang w:eastAsia="en-AU"/>
              </w:rPr>
            </w:pPr>
            <w:r w:rsidRPr="00C360A6">
              <w:t xml:space="preserve">Increased capability within the VPS in </w:t>
            </w:r>
            <w:r w:rsidR="00205796" w:rsidRPr="00C360A6">
              <w:t xml:space="preserve">running </w:t>
            </w:r>
            <w:r w:rsidRPr="00C360A6">
              <w:t>public consultation</w:t>
            </w:r>
            <w:r w:rsidR="00205796" w:rsidRPr="00C360A6">
              <w:t>s</w:t>
            </w:r>
          </w:p>
          <w:p w14:paraId="5A88C418" w14:textId="77777777" w:rsidR="009E6793" w:rsidRPr="00C360A6" w:rsidRDefault="009E6793" w:rsidP="0053739A">
            <w:pPr>
              <w:pStyle w:val="Tabletext"/>
              <w:rPr>
                <w:b/>
                <w:bCs/>
                <w:color w:val="4472C4"/>
              </w:rPr>
            </w:pPr>
          </w:p>
        </w:tc>
      </w:tr>
    </w:tbl>
    <w:p w14:paraId="2C3FE090" w14:textId="77777777" w:rsidR="009E6793" w:rsidRPr="00C360A6" w:rsidRDefault="009E6793" w:rsidP="0053739A">
      <w:pPr>
        <w:pStyle w:val="Body"/>
      </w:pPr>
    </w:p>
    <w:tbl>
      <w:tblPr>
        <w:tblStyle w:val="TableGrid"/>
        <w:tblW w:w="0" w:type="auto"/>
        <w:tblLook w:val="0620" w:firstRow="1" w:lastRow="0" w:firstColumn="0" w:lastColumn="0" w:noHBand="1" w:noVBand="1"/>
      </w:tblPr>
      <w:tblGrid>
        <w:gridCol w:w="4531"/>
        <w:gridCol w:w="1276"/>
        <w:gridCol w:w="3209"/>
      </w:tblGrid>
      <w:tr w:rsidR="009E6793" w:rsidRPr="00C360A6" w14:paraId="06DC90F2" w14:textId="77777777" w:rsidTr="6C56CBEB">
        <w:trPr>
          <w:tblHeader/>
        </w:trPr>
        <w:tc>
          <w:tcPr>
            <w:tcW w:w="4531" w:type="dxa"/>
          </w:tcPr>
          <w:p w14:paraId="2996AD1C" w14:textId="1E1A7A50" w:rsidR="009E6793" w:rsidRPr="00C360A6" w:rsidRDefault="009E6793" w:rsidP="0053739A">
            <w:pPr>
              <w:pStyle w:val="Tablecolhead"/>
            </w:pPr>
            <w:bookmarkStart w:id="27" w:name="_Hlk93492666"/>
            <w:r w:rsidRPr="00C360A6">
              <w:t>What the government is delivering</w:t>
            </w:r>
          </w:p>
        </w:tc>
        <w:tc>
          <w:tcPr>
            <w:tcW w:w="1276" w:type="dxa"/>
          </w:tcPr>
          <w:p w14:paraId="147BD8E0" w14:textId="77777777" w:rsidR="009E6793" w:rsidRPr="00C360A6" w:rsidRDefault="009E6793" w:rsidP="0053739A">
            <w:pPr>
              <w:pStyle w:val="Tablecolhead"/>
            </w:pPr>
            <w:r w:rsidRPr="00C360A6">
              <w:t>When</w:t>
            </w:r>
          </w:p>
        </w:tc>
        <w:tc>
          <w:tcPr>
            <w:tcW w:w="3209" w:type="dxa"/>
          </w:tcPr>
          <w:p w14:paraId="6E3BCAB6" w14:textId="77777777" w:rsidR="009E6793" w:rsidRPr="00C360A6" w:rsidRDefault="009E6793" w:rsidP="0053739A">
            <w:pPr>
              <w:pStyle w:val="Tablecolhead"/>
            </w:pPr>
            <w:r w:rsidRPr="00C360A6">
              <w:t>Impact</w:t>
            </w:r>
          </w:p>
        </w:tc>
      </w:tr>
      <w:tr w:rsidR="009E6793" w:rsidRPr="00C360A6" w14:paraId="46FB4D7A" w14:textId="77777777" w:rsidTr="6C56CBEB">
        <w:tc>
          <w:tcPr>
            <w:tcW w:w="4531" w:type="dxa"/>
          </w:tcPr>
          <w:p w14:paraId="63367B92" w14:textId="53CE6AD4" w:rsidR="0005721B" w:rsidRPr="00C360A6" w:rsidRDefault="009E6793" w:rsidP="0053739A">
            <w:pPr>
              <w:pStyle w:val="Tabletext"/>
            </w:pPr>
            <w:bookmarkStart w:id="28" w:name="_Hlk92206435"/>
            <w:bookmarkEnd w:id="27"/>
            <w:r w:rsidRPr="00C360A6">
              <w:t>Support for multicultural seniors’ groups through the</w:t>
            </w:r>
            <w:r w:rsidRPr="00C360A6">
              <w:rPr>
                <w:b/>
              </w:rPr>
              <w:t xml:space="preserve"> Multicultural Seniors Support </w:t>
            </w:r>
            <w:r w:rsidR="0005721B" w:rsidRPr="00C360A6">
              <w:rPr>
                <w:b/>
              </w:rPr>
              <w:t>p</w:t>
            </w:r>
            <w:r w:rsidRPr="00C360A6">
              <w:rPr>
                <w:b/>
              </w:rPr>
              <w:t>rogram</w:t>
            </w:r>
            <w:r w:rsidR="0005721B" w:rsidRPr="00C360A6">
              <w:rPr>
                <w:bCs/>
              </w:rPr>
              <w:t xml:space="preserve">. This will be </w:t>
            </w:r>
            <w:r w:rsidRPr="00C360A6">
              <w:t>for</w:t>
            </w:r>
            <w:r w:rsidR="0005721B" w:rsidRPr="00C360A6">
              <w:t>:</w:t>
            </w:r>
            <w:r w:rsidRPr="00C360A6">
              <w:t xml:space="preserve"> </w:t>
            </w:r>
          </w:p>
          <w:p w14:paraId="2DCEA01E" w14:textId="30E530AA" w:rsidR="0005721B" w:rsidRPr="00C360A6" w:rsidRDefault="009E6793" w:rsidP="006F4C32">
            <w:pPr>
              <w:pStyle w:val="Tablebullet1"/>
            </w:pPr>
            <w:r w:rsidRPr="00C360A6">
              <w:t>excursions</w:t>
            </w:r>
          </w:p>
          <w:p w14:paraId="07C93CCF" w14:textId="6388C7F1" w:rsidR="0005721B" w:rsidRPr="00C360A6" w:rsidRDefault="009E6793" w:rsidP="006F4C32">
            <w:pPr>
              <w:pStyle w:val="Tablebullet1"/>
            </w:pPr>
            <w:r w:rsidRPr="00C360A6">
              <w:t>cultural activities</w:t>
            </w:r>
          </w:p>
          <w:p w14:paraId="71312A1B" w14:textId="116B4EC2" w:rsidR="0005721B" w:rsidRPr="00C360A6" w:rsidRDefault="009E6793" w:rsidP="006F4C32">
            <w:pPr>
              <w:pStyle w:val="Tablebullet1"/>
            </w:pPr>
            <w:r w:rsidRPr="00C360A6">
              <w:t>regular gatherings</w:t>
            </w:r>
          </w:p>
          <w:p w14:paraId="7DF69502" w14:textId="5CB912A9" w:rsidR="0005721B" w:rsidRPr="00C360A6" w:rsidRDefault="009E6793" w:rsidP="006F4C32">
            <w:pPr>
              <w:pStyle w:val="Tablebullet1"/>
            </w:pPr>
            <w:r w:rsidRPr="00C360A6">
              <w:t>running costs</w:t>
            </w:r>
          </w:p>
          <w:p w14:paraId="25ED7BFA" w14:textId="24C68E3A" w:rsidR="0005721B" w:rsidRPr="00C360A6" w:rsidRDefault="009E6793" w:rsidP="006F4C32">
            <w:pPr>
              <w:pStyle w:val="Tablebullet1"/>
            </w:pPr>
            <w:r w:rsidRPr="00C360A6">
              <w:t>purchas</w:t>
            </w:r>
            <w:r w:rsidR="00CC71F0" w:rsidRPr="00C360A6">
              <w:t>ing</w:t>
            </w:r>
            <w:r w:rsidRPr="00C360A6">
              <w:t xml:space="preserve"> resources or equipment (sewing machines, laptop</w:t>
            </w:r>
            <w:r w:rsidR="00CC71F0" w:rsidRPr="00C360A6">
              <w:t>s</w:t>
            </w:r>
            <w:r w:rsidRPr="00C360A6">
              <w:t>, printer</w:t>
            </w:r>
            <w:r w:rsidR="00CC71F0" w:rsidRPr="00C360A6">
              <w:t>s</w:t>
            </w:r>
            <w:r w:rsidRPr="00C360A6">
              <w:t>) for the benefit of group</w:t>
            </w:r>
            <w:r w:rsidR="00CC71F0" w:rsidRPr="00C360A6">
              <w:t>s</w:t>
            </w:r>
            <w:r w:rsidRPr="00C360A6">
              <w:t xml:space="preserve"> and members</w:t>
            </w:r>
          </w:p>
          <w:p w14:paraId="3B407483" w14:textId="7BC6684A" w:rsidR="0005721B" w:rsidRPr="00C360A6" w:rsidRDefault="009E6793" w:rsidP="006F4C32">
            <w:pPr>
              <w:pStyle w:val="Tablebullet1"/>
            </w:pPr>
            <w:r w:rsidRPr="00C360A6">
              <w:t>deliver</w:t>
            </w:r>
            <w:r w:rsidR="00CC71F0" w:rsidRPr="00C360A6">
              <w:t>ing</w:t>
            </w:r>
            <w:r w:rsidRPr="00C360A6">
              <w:t xml:space="preserve"> practical supports (</w:t>
            </w:r>
            <w:r w:rsidR="00CC71F0" w:rsidRPr="00C360A6">
              <w:t xml:space="preserve">such as </w:t>
            </w:r>
            <w:r w:rsidRPr="00C360A6">
              <w:t>home deliveries of essential items)</w:t>
            </w:r>
          </w:p>
          <w:p w14:paraId="6AB9113D" w14:textId="5C56AA67" w:rsidR="009E6793" w:rsidRPr="00C360A6" w:rsidRDefault="009E6793" w:rsidP="006F4C32">
            <w:pPr>
              <w:pStyle w:val="Tablebullet1"/>
            </w:pPr>
            <w:r>
              <w:t xml:space="preserve">advancing multicultural seniors’ internet accessibility, digital </w:t>
            </w:r>
            <w:proofErr w:type="gramStart"/>
            <w:r>
              <w:t>literacy</w:t>
            </w:r>
            <w:proofErr w:type="gramEnd"/>
            <w:r>
              <w:t xml:space="preserve"> and access to computers.</w:t>
            </w:r>
          </w:p>
        </w:tc>
        <w:tc>
          <w:tcPr>
            <w:tcW w:w="1276" w:type="dxa"/>
          </w:tcPr>
          <w:p w14:paraId="58D73FD4" w14:textId="739DBB37" w:rsidR="009E6793" w:rsidRPr="00C360A6" w:rsidRDefault="009E6793" w:rsidP="0053739A">
            <w:pPr>
              <w:pStyle w:val="Tabletext"/>
            </w:pPr>
            <w:r w:rsidRPr="00C360A6">
              <w:t>2022</w:t>
            </w:r>
            <w:r w:rsidR="0032791F" w:rsidRPr="00C360A6">
              <w:t>–2</w:t>
            </w:r>
            <w:r w:rsidR="006F6B60">
              <w:t>5</w:t>
            </w:r>
            <w:r w:rsidR="0032791F" w:rsidRPr="00C360A6">
              <w:t xml:space="preserve"> </w:t>
            </w:r>
          </w:p>
        </w:tc>
        <w:tc>
          <w:tcPr>
            <w:tcW w:w="3209" w:type="dxa"/>
          </w:tcPr>
          <w:p w14:paraId="54B88CB8" w14:textId="7B5C54CC" w:rsidR="009E6793" w:rsidRPr="00C360A6" w:rsidRDefault="009E6793" w:rsidP="0053739A">
            <w:pPr>
              <w:pStyle w:val="Tabletext"/>
            </w:pPr>
            <w:r w:rsidRPr="00C360A6">
              <w:t>Reduce</w:t>
            </w:r>
            <w:r w:rsidR="002C5FD7" w:rsidRPr="00C360A6">
              <w:t>d</w:t>
            </w:r>
            <w:r w:rsidRPr="00C360A6">
              <w:t xml:space="preserve"> social isolation and </w:t>
            </w:r>
            <w:r w:rsidR="00FB4D59" w:rsidRPr="00C360A6">
              <w:t>better</w:t>
            </w:r>
            <w:r w:rsidR="00E02BDA" w:rsidRPr="00C360A6">
              <w:t xml:space="preserve"> </w:t>
            </w:r>
            <w:r w:rsidRPr="00C360A6">
              <w:t>social connections among multicultural seniors</w:t>
            </w:r>
          </w:p>
        </w:tc>
      </w:tr>
    </w:tbl>
    <w:bookmarkEnd w:id="28"/>
    <w:p w14:paraId="4CF54A47" w14:textId="35994420" w:rsidR="009E6793" w:rsidRPr="00C360A6" w:rsidRDefault="000C5B56" w:rsidP="000C5B56">
      <w:pPr>
        <w:pStyle w:val="Heading3"/>
      </w:pPr>
      <w:r>
        <w:lastRenderedPageBreak/>
        <w:t xml:space="preserve">2. </w:t>
      </w:r>
      <w:r w:rsidR="009E6793" w:rsidRPr="000C5B56">
        <w:rPr>
          <w:b/>
          <w:bCs w:val="0"/>
        </w:rPr>
        <w:t>Tech</w:t>
      </w:r>
      <w:r w:rsidR="009F2102" w:rsidRPr="000C5B56">
        <w:rPr>
          <w:b/>
          <w:bCs w:val="0"/>
        </w:rPr>
        <w:t>-s</w:t>
      </w:r>
      <w:r w:rsidR="009E6793" w:rsidRPr="000C5B56">
        <w:rPr>
          <w:b/>
          <w:bCs w:val="0"/>
        </w:rPr>
        <w:t xml:space="preserve">avvy </w:t>
      </w:r>
      <w:r w:rsidR="009F2102" w:rsidRPr="000C5B56">
        <w:rPr>
          <w:b/>
          <w:bCs w:val="0"/>
        </w:rPr>
        <w:t>s</w:t>
      </w:r>
      <w:r w:rsidR="009E6793" w:rsidRPr="000C5B56">
        <w:rPr>
          <w:b/>
          <w:bCs w:val="0"/>
        </w:rPr>
        <w:t>eniors</w:t>
      </w:r>
      <w:r w:rsidR="009E6793" w:rsidRPr="000C5B56">
        <w:t xml:space="preserve"> – O</w:t>
      </w:r>
      <w:r w:rsidR="009E6793" w:rsidRPr="000C5B56" w:rsidDel="00E456F7">
        <w:t>lder</w:t>
      </w:r>
      <w:r w:rsidR="009E6793" w:rsidRPr="00C360A6" w:rsidDel="00E456F7">
        <w:t xml:space="preserve"> </w:t>
      </w:r>
      <w:r w:rsidR="009E6793" w:rsidRPr="00C360A6">
        <w:t xml:space="preserve">Victorians can </w:t>
      </w:r>
      <w:r w:rsidR="00E36C4B">
        <w:t xml:space="preserve">take </w:t>
      </w:r>
      <w:r w:rsidR="009E6793" w:rsidRPr="00C360A6">
        <w:t>part</w:t>
      </w:r>
      <w:r w:rsidR="00353836">
        <w:t xml:space="preserve"> </w:t>
      </w:r>
      <w:r w:rsidR="00D54D80">
        <w:t>in</w:t>
      </w:r>
      <w:r w:rsidR="00D54D80" w:rsidRPr="00C360A6">
        <w:t xml:space="preserve"> </w:t>
      </w:r>
      <w:r w:rsidR="009E6793" w:rsidRPr="00C360A6">
        <w:t>the digital world</w:t>
      </w:r>
      <w:r w:rsidR="007C6CFF">
        <w:t>. T</w:t>
      </w:r>
      <w:r w:rsidR="009E6793" w:rsidRPr="00C360A6">
        <w:t>hose who can’t are not discriminated against and can access services via alternative means</w:t>
      </w:r>
    </w:p>
    <w:p w14:paraId="792F6BFE" w14:textId="77777777" w:rsidR="009E6793" w:rsidRPr="00C360A6" w:rsidRDefault="009E6793" w:rsidP="00B743FD">
      <w:pPr>
        <w:pStyle w:val="Heading4"/>
      </w:pPr>
      <w:r w:rsidRPr="00C360A6">
        <w:t>The digital divide</w:t>
      </w:r>
    </w:p>
    <w:p w14:paraId="45540A9C" w14:textId="6AD43FE5" w:rsidR="002014A1" w:rsidRPr="00C360A6" w:rsidRDefault="009E6793" w:rsidP="0053739A">
      <w:pPr>
        <w:pStyle w:val="Body"/>
        <w:rPr>
          <w:rFonts w:cstheme="minorHAnsi"/>
        </w:rPr>
      </w:pPr>
      <w:r w:rsidRPr="00C360A6">
        <w:t xml:space="preserve">There are many social benefits to being online and connecting with family, </w:t>
      </w:r>
      <w:proofErr w:type="gramStart"/>
      <w:r w:rsidRPr="00C360A6">
        <w:t>friends</w:t>
      </w:r>
      <w:proofErr w:type="gramEnd"/>
      <w:r w:rsidRPr="00C360A6">
        <w:t xml:space="preserve"> and communities of interest across the globe. There are economic benefits in being able to take advantage of online goods and service offers. </w:t>
      </w:r>
      <w:r w:rsidR="002014A1" w:rsidRPr="00C360A6" w:rsidDel="003574FD">
        <w:t xml:space="preserve">These </w:t>
      </w:r>
      <w:r w:rsidR="002014A1" w:rsidRPr="00C360A6" w:rsidDel="003574FD">
        <w:rPr>
          <w:rFonts w:cstheme="minorHAnsi"/>
        </w:rPr>
        <w:t>parts of t</w:t>
      </w:r>
      <w:r w:rsidR="002014A1" w:rsidRPr="00C360A6" w:rsidDel="000B1260">
        <w:rPr>
          <w:rFonts w:cstheme="minorHAnsi"/>
        </w:rPr>
        <w:t>he ‘new normal’ of the pandemic</w:t>
      </w:r>
      <w:r w:rsidR="002014A1" w:rsidRPr="00C360A6" w:rsidDel="00C80BAF">
        <w:rPr>
          <w:rFonts w:cstheme="minorHAnsi"/>
        </w:rPr>
        <w:t xml:space="preserve"> </w:t>
      </w:r>
      <w:r w:rsidR="002014A1" w:rsidRPr="00C360A6">
        <w:rPr>
          <w:rFonts w:cstheme="minorHAnsi"/>
        </w:rPr>
        <w:t xml:space="preserve">include: </w:t>
      </w:r>
    </w:p>
    <w:p w14:paraId="3A183480" w14:textId="0821D525" w:rsidR="002014A1" w:rsidRPr="00C360A6" w:rsidRDefault="002014A1" w:rsidP="006F4C32">
      <w:pPr>
        <w:pStyle w:val="Bullet1"/>
      </w:pPr>
      <w:r w:rsidRPr="00C360A6">
        <w:t>s</w:t>
      </w:r>
      <w:r w:rsidR="009E6793" w:rsidRPr="00C360A6">
        <w:t>hopping online</w:t>
      </w:r>
    </w:p>
    <w:p w14:paraId="6B3352B7" w14:textId="70652E8E" w:rsidR="002014A1" w:rsidRPr="00C360A6" w:rsidRDefault="009E6793" w:rsidP="006F4C32">
      <w:pPr>
        <w:pStyle w:val="Bullet1"/>
      </w:pPr>
      <w:r w:rsidRPr="00C360A6">
        <w:t>completing forms or applications on websites</w:t>
      </w:r>
    </w:p>
    <w:p w14:paraId="62A945D2" w14:textId="77777777" w:rsidR="002014A1" w:rsidRPr="00C360A6" w:rsidRDefault="009E6793" w:rsidP="006F4C32">
      <w:pPr>
        <w:pStyle w:val="Bullet1"/>
      </w:pPr>
      <w:r w:rsidRPr="00C360A6">
        <w:t>using telehealth for medical appointments</w:t>
      </w:r>
    </w:p>
    <w:p w14:paraId="5F7C0F38" w14:textId="2F025878" w:rsidR="002014A1" w:rsidRPr="00C360A6" w:rsidRDefault="009E6793" w:rsidP="006F4C32">
      <w:pPr>
        <w:pStyle w:val="Bullet1"/>
      </w:pPr>
      <w:r w:rsidRPr="00C360A6">
        <w:t xml:space="preserve">accessing </w:t>
      </w:r>
      <w:r w:rsidR="00CD751F">
        <w:t xml:space="preserve">digital </w:t>
      </w:r>
      <w:r w:rsidRPr="00C360A6">
        <w:t>vaccination certificates</w:t>
      </w:r>
    </w:p>
    <w:p w14:paraId="2B4EE630" w14:textId="260E6366" w:rsidR="009E6793" w:rsidRPr="00C360A6" w:rsidRDefault="009E6793" w:rsidP="006F4C32">
      <w:pPr>
        <w:pStyle w:val="Bullet1"/>
        <w:rPr>
          <w:rFonts w:ascii="VIC" w:eastAsiaTheme="minorEastAsia" w:hAnsi="VIC"/>
          <w:lang w:eastAsia="en-AU"/>
        </w:rPr>
      </w:pPr>
      <w:r w:rsidRPr="00C360A6">
        <w:t xml:space="preserve">getting information for </w:t>
      </w:r>
      <w:r w:rsidR="002014A1" w:rsidRPr="00C360A6">
        <w:t xml:space="preserve">help </w:t>
      </w:r>
      <w:r w:rsidRPr="00C360A6">
        <w:t>and support online</w:t>
      </w:r>
      <w:r w:rsidRPr="00C360A6">
        <w:rPr>
          <w:rFonts w:ascii="VIC" w:eastAsiaTheme="minorEastAsia" w:hAnsi="VIC"/>
          <w:spacing w:val="2"/>
          <w:lang w:eastAsia="en-AU"/>
        </w:rPr>
        <w:t>.</w:t>
      </w:r>
    </w:p>
    <w:p w14:paraId="0CE17D1B" w14:textId="21C7506C" w:rsidR="009E6793" w:rsidRPr="00C360A6" w:rsidRDefault="009E6793" w:rsidP="006F4C32">
      <w:pPr>
        <w:pStyle w:val="Bodyafterbullets"/>
      </w:pPr>
      <w:r w:rsidRPr="003E2AAB">
        <w:t xml:space="preserve">Many people previously not online adapted to digital devices for family connection and essential services during lockdowns. At the same time, the pandemic </w:t>
      </w:r>
      <w:r w:rsidRPr="003E2AAB" w:rsidDel="000E61AB">
        <w:t>has exposed</w:t>
      </w:r>
      <w:r w:rsidRPr="003E2AAB">
        <w:t xml:space="preserve"> the extent and impact of the ‘digital divide’.</w:t>
      </w:r>
      <w:r w:rsidR="00443AFA" w:rsidRPr="003E2AAB">
        <w:t xml:space="preserve"> </w:t>
      </w:r>
      <w:r w:rsidRPr="003E2AAB">
        <w:t xml:space="preserve">While the </w:t>
      </w:r>
      <w:r w:rsidR="00011AF8" w:rsidRPr="003E2AAB">
        <w:t xml:space="preserve">COVID-19 </w:t>
      </w:r>
      <w:r w:rsidRPr="003E2AAB">
        <w:t xml:space="preserve">pandemic </w:t>
      </w:r>
      <w:r w:rsidR="00B91CF1" w:rsidRPr="003E2AAB">
        <w:t xml:space="preserve">showed </w:t>
      </w:r>
      <w:r w:rsidRPr="003E2AAB">
        <w:t xml:space="preserve">the </w:t>
      </w:r>
      <w:r w:rsidR="00D22FC4" w:rsidRPr="003E2AAB">
        <w:t xml:space="preserve">ability </w:t>
      </w:r>
      <w:r w:rsidRPr="003E2AAB">
        <w:t>of some older people to engage with digital technology including attending online meetings, many have been left behind.</w:t>
      </w:r>
    </w:p>
    <w:p w14:paraId="4C3F669F" w14:textId="38908CD2" w:rsidR="00B91CF1" w:rsidRPr="00C360A6" w:rsidRDefault="009E6793" w:rsidP="0053739A">
      <w:pPr>
        <w:pStyle w:val="Body"/>
        <w:rPr>
          <w:rFonts w:cstheme="minorHAnsi"/>
          <w:szCs w:val="18"/>
        </w:rPr>
      </w:pPr>
      <w:r w:rsidRPr="00C360A6">
        <w:t xml:space="preserve">Given the rapid growth in use of digital platforms by banks, governments and essential services, many people need </w:t>
      </w:r>
      <w:r w:rsidR="00B91CF1" w:rsidRPr="00C360A6">
        <w:t xml:space="preserve">extra </w:t>
      </w:r>
      <w:r w:rsidRPr="00C360A6">
        <w:t>support to us</w:t>
      </w:r>
      <w:r w:rsidR="00B91CF1" w:rsidRPr="00C360A6">
        <w:t>e</w:t>
      </w:r>
      <w:r w:rsidRPr="00C360A6">
        <w:t xml:space="preserve"> online services and resources.</w:t>
      </w:r>
      <w:r w:rsidRPr="00C360A6">
        <w:rPr>
          <w:rFonts w:cstheme="minorHAnsi"/>
        </w:rPr>
        <w:t xml:space="preserve"> </w:t>
      </w:r>
      <w:r w:rsidR="00B91CF1" w:rsidRPr="00C360A6">
        <w:rPr>
          <w:rFonts w:cstheme="minorHAnsi"/>
        </w:rPr>
        <w:t xml:space="preserve">The online world is getting more complex. </w:t>
      </w:r>
      <w:r w:rsidRPr="00C360A6">
        <w:rPr>
          <w:rFonts w:cstheme="minorHAnsi"/>
        </w:rPr>
        <w:t xml:space="preserve">There are many older people who need </w:t>
      </w:r>
      <w:r w:rsidR="00B91CF1" w:rsidRPr="00C360A6">
        <w:rPr>
          <w:rFonts w:cstheme="minorHAnsi"/>
        </w:rPr>
        <w:t xml:space="preserve">extra </w:t>
      </w:r>
      <w:r w:rsidRPr="00C360A6">
        <w:rPr>
          <w:rFonts w:cstheme="minorHAnsi"/>
        </w:rPr>
        <w:t xml:space="preserve">training, </w:t>
      </w:r>
      <w:proofErr w:type="gramStart"/>
      <w:r w:rsidRPr="00C360A6">
        <w:rPr>
          <w:rFonts w:cstheme="minorHAnsi"/>
        </w:rPr>
        <w:t>guidance</w:t>
      </w:r>
      <w:proofErr w:type="gramEnd"/>
      <w:r w:rsidRPr="00C360A6">
        <w:rPr>
          <w:rFonts w:cstheme="minorHAnsi"/>
        </w:rPr>
        <w:t xml:space="preserve"> and practical </w:t>
      </w:r>
      <w:r w:rsidR="00D22FC4" w:rsidRPr="00C360A6">
        <w:rPr>
          <w:rFonts w:cstheme="minorHAnsi"/>
        </w:rPr>
        <w:t xml:space="preserve">help </w:t>
      </w:r>
      <w:r w:rsidRPr="00C360A6">
        <w:rPr>
          <w:rFonts w:cstheme="minorHAnsi"/>
        </w:rPr>
        <w:t xml:space="preserve">to navigate </w:t>
      </w:r>
      <w:r w:rsidR="00B91CF1" w:rsidRPr="00C360A6">
        <w:rPr>
          <w:rFonts w:cstheme="minorHAnsi"/>
        </w:rPr>
        <w:t xml:space="preserve">it </w:t>
      </w:r>
      <w:r w:rsidRPr="00C360A6">
        <w:rPr>
          <w:rFonts w:cstheme="minorHAnsi"/>
        </w:rPr>
        <w:t xml:space="preserve">safely and securely. </w:t>
      </w:r>
      <w:r w:rsidR="00B91CF1" w:rsidRPr="00C360A6">
        <w:rPr>
          <w:rFonts w:cstheme="minorHAnsi"/>
        </w:rPr>
        <w:t xml:space="preserve">In </w:t>
      </w:r>
      <w:r w:rsidR="00B91CF1" w:rsidRPr="00C360A6">
        <w:rPr>
          <w:rFonts w:cstheme="minorHAnsi"/>
          <w:szCs w:val="18"/>
        </w:rPr>
        <w:t>every one of the Commissioner’s consultation</w:t>
      </w:r>
      <w:r w:rsidR="0042639E" w:rsidRPr="00C360A6">
        <w:rPr>
          <w:rFonts w:cstheme="minorHAnsi"/>
          <w:szCs w:val="18"/>
        </w:rPr>
        <w:t>s</w:t>
      </w:r>
      <w:r w:rsidR="00B91CF1" w:rsidRPr="00C360A6">
        <w:rPr>
          <w:rFonts w:cstheme="minorHAnsi"/>
          <w:szCs w:val="18"/>
        </w:rPr>
        <w:t xml:space="preserve"> held in 2019, people talked about:</w:t>
      </w:r>
    </w:p>
    <w:p w14:paraId="6F3688FC" w14:textId="2E35DE61" w:rsidR="00B91CF1" w:rsidRPr="00C360A6" w:rsidRDefault="0042639E" w:rsidP="006F4C32">
      <w:pPr>
        <w:pStyle w:val="Bullet1"/>
      </w:pPr>
      <w:r w:rsidRPr="00C360A6">
        <w:t>the l</w:t>
      </w:r>
      <w:r w:rsidR="009E6793" w:rsidRPr="00C360A6">
        <w:t>ack of ability to use and keep up with technology</w:t>
      </w:r>
    </w:p>
    <w:p w14:paraId="21693F4D" w14:textId="347B8F37" w:rsidR="00B91CF1" w:rsidRPr="00C360A6" w:rsidRDefault="009E6793" w:rsidP="006F4C32">
      <w:pPr>
        <w:pStyle w:val="Bullet1"/>
      </w:pPr>
      <w:r w:rsidRPr="00C360A6">
        <w:t>the cost of maintaining and updating systems</w:t>
      </w:r>
    </w:p>
    <w:p w14:paraId="41893B17" w14:textId="715135BC" w:rsidR="009E6793" w:rsidRPr="00C360A6" w:rsidRDefault="009E6793" w:rsidP="006F4C32">
      <w:pPr>
        <w:pStyle w:val="Bullet1"/>
      </w:pPr>
      <w:r w:rsidRPr="00C360A6">
        <w:t xml:space="preserve">the difficulty of finding someone to </w:t>
      </w:r>
      <w:r w:rsidR="0042639E" w:rsidRPr="00C360A6">
        <w:t xml:space="preserve">help them </w:t>
      </w:r>
      <w:r w:rsidR="00D22FC4" w:rsidRPr="00C360A6">
        <w:t>improve their</w:t>
      </w:r>
      <w:r w:rsidRPr="00C360A6">
        <w:t xml:space="preserve"> technology skills</w:t>
      </w:r>
      <w:r w:rsidR="00B91CF1" w:rsidRPr="00C360A6">
        <w:t>.</w:t>
      </w:r>
    </w:p>
    <w:p w14:paraId="771E9E83" w14:textId="3D3E34CA" w:rsidR="0042639E" w:rsidRPr="00C360A6" w:rsidRDefault="009E6793" w:rsidP="00B91CF1">
      <w:pPr>
        <w:pStyle w:val="Bodyafterbullets"/>
      </w:pPr>
      <w:r w:rsidRPr="00C360A6">
        <w:t xml:space="preserve">Many older people have safety concerns with using digital technology. </w:t>
      </w:r>
      <w:r w:rsidR="0042639E" w:rsidRPr="00C360A6">
        <w:t xml:space="preserve">This leaves them open to online exploitation and </w:t>
      </w:r>
      <w:r w:rsidR="00D22FC4" w:rsidRPr="00C360A6">
        <w:t>the</w:t>
      </w:r>
      <w:r w:rsidR="0042639E" w:rsidRPr="00C360A6">
        <w:t xml:space="preserve"> target</w:t>
      </w:r>
      <w:r w:rsidR="00D22FC4" w:rsidRPr="00C360A6">
        <w:t>s of</w:t>
      </w:r>
      <w:r w:rsidR="0042639E" w:rsidRPr="00C360A6">
        <w:t xml:space="preserve"> scammers. Targets</w:t>
      </w:r>
      <w:r w:rsidR="00D22FC4" w:rsidRPr="00C360A6">
        <w:t xml:space="preserve"> often</w:t>
      </w:r>
      <w:r w:rsidR="0042639E" w:rsidRPr="00C360A6">
        <w:t xml:space="preserve"> include:</w:t>
      </w:r>
    </w:p>
    <w:p w14:paraId="5B588772" w14:textId="0E441075" w:rsidR="0042639E" w:rsidRPr="00C360A6" w:rsidRDefault="0042639E" w:rsidP="006F4C32">
      <w:pPr>
        <w:pStyle w:val="Bullet1"/>
      </w:pPr>
      <w:r w:rsidRPr="00C360A6">
        <w:t>o</w:t>
      </w:r>
      <w:r w:rsidR="009E6793" w:rsidRPr="00C360A6">
        <w:t>lder women who live alone</w:t>
      </w:r>
    </w:p>
    <w:p w14:paraId="0D3FD596" w14:textId="77777777" w:rsidR="0042639E" w:rsidRPr="00C360A6" w:rsidRDefault="009E6793" w:rsidP="006F4C32">
      <w:pPr>
        <w:pStyle w:val="Bullet1"/>
      </w:pPr>
      <w:r w:rsidRPr="00C360A6">
        <w:t>lonely people</w:t>
      </w:r>
    </w:p>
    <w:p w14:paraId="6972334E" w14:textId="791CB082" w:rsidR="0042639E" w:rsidRPr="00C360A6" w:rsidRDefault="009E6793" w:rsidP="006F4C32">
      <w:pPr>
        <w:pStyle w:val="Bullet1"/>
      </w:pPr>
      <w:r w:rsidRPr="00C360A6">
        <w:t>those with little experience of managing household finances.</w:t>
      </w:r>
    </w:p>
    <w:p w14:paraId="48ACC9BB" w14:textId="18CB8B6C" w:rsidR="009E6793" w:rsidRPr="00C360A6" w:rsidRDefault="009E6793" w:rsidP="006F4C32">
      <w:pPr>
        <w:pStyle w:val="Bodyafterbullets"/>
      </w:pPr>
      <w:r w:rsidRPr="00C360A6">
        <w:t xml:space="preserve">The Australian Competition and Consumer Commission reports that between January and September 2021 people aged 65 years </w:t>
      </w:r>
      <w:r w:rsidR="00D22FC4" w:rsidRPr="00C360A6">
        <w:t xml:space="preserve">or </w:t>
      </w:r>
      <w:r w:rsidRPr="00C360A6">
        <w:t>older lost the most money of any age group to scammers</w:t>
      </w:r>
      <w:r w:rsidR="0016047E">
        <w:t>: i</w:t>
      </w:r>
      <w:r w:rsidR="00D22FC4" w:rsidRPr="00C360A6">
        <w:t>n total,</w:t>
      </w:r>
      <w:r w:rsidRPr="00C360A6">
        <w:t xml:space="preserve"> $49.1 million or 23 per cent of total losses </w:t>
      </w:r>
      <w:r w:rsidR="00D22FC4" w:rsidRPr="00C360A6">
        <w:t xml:space="preserve">occurred in </w:t>
      </w:r>
      <w:r w:rsidRPr="00C360A6">
        <w:t>that period. Helping older people to use digital technology and be in the online world includes training and information on cyber safety and how to detect and avoid scammers. The Victorian Government will continue to work with industry and Victoria Police to improve online safety for older people.</w:t>
      </w:r>
    </w:p>
    <w:p w14:paraId="52C82FA1" w14:textId="2430785D" w:rsidR="00D22FC4" w:rsidRPr="00C360A6" w:rsidRDefault="009E6793" w:rsidP="0053739A">
      <w:pPr>
        <w:pStyle w:val="Body"/>
      </w:pPr>
      <w:r w:rsidRPr="00C360A6">
        <w:t xml:space="preserve">The Senior Victorians Advisory Group </w:t>
      </w:r>
      <w:r w:rsidR="00D22FC4" w:rsidRPr="00C360A6">
        <w:t xml:space="preserve">noted </w:t>
      </w:r>
      <w:r w:rsidRPr="00C360A6">
        <w:t xml:space="preserve">the digital divide as a key priority for government action. The Victorian Government has </w:t>
      </w:r>
      <w:r w:rsidR="00D22FC4" w:rsidRPr="00C360A6">
        <w:t xml:space="preserve">asked </w:t>
      </w:r>
      <w:r w:rsidRPr="00C360A6">
        <w:t xml:space="preserve">the Commissioner for Senior </w:t>
      </w:r>
      <w:r w:rsidRPr="00C360A6">
        <w:lastRenderedPageBreak/>
        <w:t xml:space="preserve">Victorians </w:t>
      </w:r>
      <w:r w:rsidR="00D22FC4" w:rsidRPr="00C360A6">
        <w:t xml:space="preserve">to </w:t>
      </w:r>
      <w:r w:rsidRPr="00C360A6">
        <w:t xml:space="preserve">review and provide further advice about how to </w:t>
      </w:r>
      <w:r w:rsidR="00D22FC4" w:rsidRPr="00C360A6">
        <w:t>improve</w:t>
      </w:r>
      <w:r w:rsidRPr="00C360A6">
        <w:t xml:space="preserve"> the levels of digital connectedness for senior Victorians. This will include priority issues of</w:t>
      </w:r>
      <w:r w:rsidR="00D22FC4" w:rsidRPr="00C360A6">
        <w:t>:</w:t>
      </w:r>
      <w:r w:rsidRPr="00C360A6">
        <w:t xml:space="preserve"> </w:t>
      </w:r>
    </w:p>
    <w:p w14:paraId="637538C6" w14:textId="266D9F0B" w:rsidR="00D22FC4" w:rsidRPr="00C360A6" w:rsidRDefault="00D22FC4" w:rsidP="006F4C32">
      <w:pPr>
        <w:pStyle w:val="Bullet1"/>
      </w:pPr>
      <w:r w:rsidRPr="00C360A6">
        <w:t xml:space="preserve">improving </w:t>
      </w:r>
      <w:r w:rsidR="009E6793" w:rsidRPr="00C360A6">
        <w:t>digital ability and building confidence</w:t>
      </w:r>
    </w:p>
    <w:p w14:paraId="2023BC19" w14:textId="567B2E74" w:rsidR="00D22FC4" w:rsidRPr="00C360A6" w:rsidRDefault="009E6793" w:rsidP="006F4C32">
      <w:pPr>
        <w:pStyle w:val="Bullet1"/>
      </w:pPr>
      <w:r w:rsidRPr="00C360A6">
        <w:t>affordability concerns</w:t>
      </w:r>
    </w:p>
    <w:p w14:paraId="27C3E5C0" w14:textId="4EB20097" w:rsidR="009E6793" w:rsidRPr="00C360A6" w:rsidRDefault="009E6793" w:rsidP="006F4C32">
      <w:pPr>
        <w:pStyle w:val="Bullet1"/>
      </w:pPr>
      <w:r w:rsidRPr="00C360A6">
        <w:t>addressing privacy and scamming protections.</w:t>
      </w:r>
    </w:p>
    <w:p w14:paraId="2151AFEC" w14:textId="2AC69D3A" w:rsidR="009E6793" w:rsidRPr="00C360A6" w:rsidRDefault="009E6793" w:rsidP="006F4C32">
      <w:pPr>
        <w:pStyle w:val="Bodyafterbullets"/>
      </w:pPr>
      <w:r w:rsidRPr="00C360A6">
        <w:rPr>
          <w:rFonts w:cstheme="minorHAnsi"/>
        </w:rPr>
        <w:t xml:space="preserve">Some </w:t>
      </w:r>
      <w:r w:rsidRPr="00C360A6">
        <w:t xml:space="preserve">people may never make the leap across the digital divide. </w:t>
      </w:r>
      <w:r w:rsidR="00D22FC4" w:rsidRPr="00C360A6">
        <w:t>We will ask g</w:t>
      </w:r>
      <w:r w:rsidRPr="00C360A6">
        <w:t>overnment departments to develop options for alternatives to online access for services targeted to seniors</w:t>
      </w:r>
      <w:r w:rsidR="00D22FC4" w:rsidRPr="00C360A6">
        <w:t>. This will include</w:t>
      </w:r>
      <w:r w:rsidRPr="00C360A6">
        <w:t xml:space="preserve"> key social services</w:t>
      </w:r>
      <w:r w:rsidR="00D22FC4" w:rsidRPr="00C360A6">
        <w:t xml:space="preserve"> that </w:t>
      </w:r>
      <w:r w:rsidRPr="00C360A6">
        <w:t xml:space="preserve">currently </w:t>
      </w:r>
      <w:r w:rsidR="00D22FC4" w:rsidRPr="00C360A6">
        <w:t xml:space="preserve">only offer </w:t>
      </w:r>
      <w:r w:rsidRPr="00C360A6">
        <w:t>online access.</w:t>
      </w:r>
    </w:p>
    <w:tbl>
      <w:tblPr>
        <w:tblStyle w:val="TableGrid"/>
        <w:tblW w:w="0" w:type="auto"/>
        <w:tblLayout w:type="fixed"/>
        <w:tblLook w:val="0620" w:firstRow="1" w:lastRow="0" w:firstColumn="0" w:lastColumn="0" w:noHBand="1" w:noVBand="1"/>
      </w:tblPr>
      <w:tblGrid>
        <w:gridCol w:w="4390"/>
        <w:gridCol w:w="1275"/>
        <w:gridCol w:w="3351"/>
      </w:tblGrid>
      <w:tr w:rsidR="009E6793" w:rsidRPr="00C360A6" w14:paraId="1AC10198" w14:textId="77777777" w:rsidTr="003122D9">
        <w:trPr>
          <w:tblHeader/>
        </w:trPr>
        <w:tc>
          <w:tcPr>
            <w:tcW w:w="4390" w:type="dxa"/>
          </w:tcPr>
          <w:p w14:paraId="29CD761B" w14:textId="208A87D9" w:rsidR="009E6793" w:rsidRPr="00C360A6" w:rsidRDefault="009E6793" w:rsidP="0053739A">
            <w:pPr>
              <w:pStyle w:val="Tablecolhead"/>
            </w:pPr>
            <w:bookmarkStart w:id="29" w:name="_Hlk92187911"/>
            <w:r w:rsidRPr="00C360A6">
              <w:t>What the government will deliver</w:t>
            </w:r>
          </w:p>
        </w:tc>
        <w:tc>
          <w:tcPr>
            <w:tcW w:w="1275" w:type="dxa"/>
          </w:tcPr>
          <w:p w14:paraId="4A38AE25" w14:textId="77777777" w:rsidR="009E6793" w:rsidRPr="00C360A6" w:rsidRDefault="009E6793" w:rsidP="0053739A">
            <w:pPr>
              <w:pStyle w:val="Tablecolhead"/>
            </w:pPr>
            <w:r w:rsidRPr="00C360A6">
              <w:t>When</w:t>
            </w:r>
          </w:p>
        </w:tc>
        <w:tc>
          <w:tcPr>
            <w:tcW w:w="3351" w:type="dxa"/>
          </w:tcPr>
          <w:p w14:paraId="7B7D8E17" w14:textId="77777777" w:rsidR="009E6793" w:rsidRPr="00C360A6" w:rsidRDefault="009E6793" w:rsidP="0053739A">
            <w:pPr>
              <w:pStyle w:val="Tablecolhead"/>
            </w:pPr>
            <w:r w:rsidRPr="00C360A6">
              <w:t>Impact</w:t>
            </w:r>
          </w:p>
        </w:tc>
      </w:tr>
      <w:bookmarkEnd w:id="29"/>
      <w:tr w:rsidR="009E6793" w:rsidRPr="00C360A6" w14:paraId="2136F97C" w14:textId="77777777" w:rsidTr="003122D9">
        <w:tc>
          <w:tcPr>
            <w:tcW w:w="4390" w:type="dxa"/>
          </w:tcPr>
          <w:p w14:paraId="78D8200F" w14:textId="5CAC5A32" w:rsidR="009E6793" w:rsidRPr="00C360A6" w:rsidRDefault="009E6793" w:rsidP="0053739A">
            <w:pPr>
              <w:pStyle w:val="Tabletext"/>
            </w:pPr>
            <w:r w:rsidRPr="00C360A6">
              <w:rPr>
                <w:b/>
                <w:bCs/>
              </w:rPr>
              <w:t>Improved digital access</w:t>
            </w:r>
            <w:r w:rsidRPr="00C360A6">
              <w:t xml:space="preserve"> through </w:t>
            </w:r>
            <w:r w:rsidRPr="00C360A6">
              <w:rPr>
                <w:bCs/>
              </w:rPr>
              <w:t>the</w:t>
            </w:r>
            <w:r w:rsidRPr="00C360A6">
              <w:rPr>
                <w:b/>
              </w:rPr>
              <w:t xml:space="preserve"> </w:t>
            </w:r>
            <w:r w:rsidRPr="00C360A6">
              <w:rPr>
                <w:bCs/>
              </w:rPr>
              <w:t>Connecting Victoria program</w:t>
            </w:r>
            <w:r w:rsidR="00BF4790" w:rsidRPr="00C360A6">
              <w:t xml:space="preserve">. This </w:t>
            </w:r>
            <w:r w:rsidRPr="00C360A6">
              <w:t xml:space="preserve">will invest in better mobile coverage and broadband across the state. Locations will be based on economic uplift, digital </w:t>
            </w:r>
            <w:proofErr w:type="gramStart"/>
            <w:r w:rsidRPr="00C360A6">
              <w:t>inclusion</w:t>
            </w:r>
            <w:proofErr w:type="gramEnd"/>
            <w:r w:rsidRPr="00C360A6">
              <w:t xml:space="preserve"> and community input</w:t>
            </w:r>
            <w:r w:rsidR="006A4975" w:rsidRPr="00C360A6">
              <w:t>.</w:t>
            </w:r>
            <w:r w:rsidR="00563B3F" w:rsidRPr="00C360A6">
              <w:t xml:space="preserve"> This will</w:t>
            </w:r>
            <w:r w:rsidRPr="00C360A6">
              <w:t xml:space="preserve"> help identify where services are not meeting user needs.</w:t>
            </w:r>
          </w:p>
        </w:tc>
        <w:tc>
          <w:tcPr>
            <w:tcW w:w="1275" w:type="dxa"/>
            <w:hideMark/>
          </w:tcPr>
          <w:p w14:paraId="1652CF78" w14:textId="510E62A3" w:rsidR="009E6793" w:rsidRPr="00C360A6" w:rsidRDefault="009E6793" w:rsidP="0053739A">
            <w:pPr>
              <w:pStyle w:val="Tabletext"/>
            </w:pPr>
            <w:r w:rsidRPr="00C360A6">
              <w:t>From 2022</w:t>
            </w:r>
          </w:p>
        </w:tc>
        <w:tc>
          <w:tcPr>
            <w:tcW w:w="3351" w:type="dxa"/>
            <w:hideMark/>
          </w:tcPr>
          <w:p w14:paraId="01EDF75A" w14:textId="3388CAF4" w:rsidR="009E6793" w:rsidRPr="00C360A6" w:rsidRDefault="009E6793" w:rsidP="0053739A">
            <w:pPr>
              <w:pStyle w:val="Tabletext"/>
            </w:pPr>
            <w:r w:rsidRPr="00C360A6">
              <w:t xml:space="preserve">More people </w:t>
            </w:r>
            <w:r w:rsidR="00234E79" w:rsidRPr="00C360A6">
              <w:t>with</w:t>
            </w:r>
            <w:r w:rsidRPr="00C360A6">
              <w:t xml:space="preserve"> better access to the internet across Victoria</w:t>
            </w:r>
          </w:p>
        </w:tc>
      </w:tr>
      <w:tr w:rsidR="009E6793" w:rsidRPr="00C360A6" w14:paraId="6EA0161E" w14:textId="77777777" w:rsidTr="003122D9">
        <w:tc>
          <w:tcPr>
            <w:tcW w:w="4390" w:type="dxa"/>
          </w:tcPr>
          <w:p w14:paraId="0DEFC68B" w14:textId="76D73292" w:rsidR="009E6793" w:rsidRPr="00C360A6" w:rsidRDefault="009E6793" w:rsidP="0053739A">
            <w:pPr>
              <w:pStyle w:val="Tabletext"/>
            </w:pPr>
            <w:r w:rsidRPr="00C360A6">
              <w:t xml:space="preserve">Government departments will be requested to develop </w:t>
            </w:r>
            <w:r w:rsidRPr="00C360A6">
              <w:rPr>
                <w:b/>
                <w:bCs/>
              </w:rPr>
              <w:t>alternatives to online access</w:t>
            </w:r>
            <w:r w:rsidR="00563B3F" w:rsidRPr="00C360A6">
              <w:t xml:space="preserve">. This will be </w:t>
            </w:r>
            <w:r w:rsidRPr="00C360A6">
              <w:t xml:space="preserve">for services targeted to seniors and </w:t>
            </w:r>
            <w:r w:rsidR="00563B3F" w:rsidRPr="00C360A6">
              <w:t xml:space="preserve">for </w:t>
            </w:r>
            <w:r w:rsidRPr="00C360A6">
              <w:t>key social services</w:t>
            </w:r>
            <w:r w:rsidR="00563B3F" w:rsidRPr="00C360A6">
              <w:t xml:space="preserve"> that </w:t>
            </w:r>
            <w:r w:rsidRPr="00C360A6">
              <w:t xml:space="preserve">currently </w:t>
            </w:r>
            <w:r w:rsidR="00563B3F" w:rsidRPr="00C360A6">
              <w:t xml:space="preserve">only offer </w:t>
            </w:r>
            <w:r w:rsidRPr="00C360A6">
              <w:t>online access.</w:t>
            </w:r>
          </w:p>
        </w:tc>
        <w:tc>
          <w:tcPr>
            <w:tcW w:w="1275" w:type="dxa"/>
          </w:tcPr>
          <w:p w14:paraId="42A0827C" w14:textId="38BC0A58" w:rsidR="009E6793" w:rsidRPr="00C360A6" w:rsidRDefault="009E6793" w:rsidP="0053739A">
            <w:pPr>
              <w:pStyle w:val="Tabletext"/>
            </w:pPr>
            <w:r w:rsidRPr="00C360A6">
              <w:t>2022</w:t>
            </w:r>
            <w:r w:rsidR="0032791F" w:rsidRPr="00C360A6">
              <w:t>–</w:t>
            </w:r>
            <w:r w:rsidRPr="00C360A6">
              <w:t>23</w:t>
            </w:r>
          </w:p>
        </w:tc>
        <w:tc>
          <w:tcPr>
            <w:tcW w:w="3351" w:type="dxa"/>
          </w:tcPr>
          <w:p w14:paraId="22BAAD89" w14:textId="23BE0FBD" w:rsidR="009E6793" w:rsidRPr="00C360A6" w:rsidRDefault="009E6793" w:rsidP="0053739A">
            <w:pPr>
              <w:pStyle w:val="Tabletext"/>
            </w:pPr>
            <w:r w:rsidRPr="00C360A6">
              <w:t>Services easier to access for those not online</w:t>
            </w:r>
          </w:p>
        </w:tc>
      </w:tr>
      <w:tr w:rsidR="009E6793" w:rsidRPr="00C360A6" w14:paraId="2D8D8FEF" w14:textId="77777777" w:rsidTr="003122D9">
        <w:tc>
          <w:tcPr>
            <w:tcW w:w="4390" w:type="dxa"/>
          </w:tcPr>
          <w:p w14:paraId="0E7D6354" w14:textId="5B0D0A74" w:rsidR="009E6793" w:rsidRPr="00C360A6" w:rsidRDefault="009E6793" w:rsidP="0053739A">
            <w:pPr>
              <w:pStyle w:val="Tabletext"/>
            </w:pPr>
            <w:r w:rsidRPr="00C360A6">
              <w:t>Resources for the Commissioner for Senior Victorians</w:t>
            </w:r>
            <w:r w:rsidRPr="00C360A6">
              <w:rPr>
                <w:b/>
                <w:bCs/>
              </w:rPr>
              <w:t xml:space="preserve"> to review digital connectedness </w:t>
            </w:r>
            <w:r w:rsidRPr="00C360A6">
              <w:t>and provide advice to government.</w:t>
            </w:r>
          </w:p>
        </w:tc>
        <w:tc>
          <w:tcPr>
            <w:tcW w:w="1275" w:type="dxa"/>
          </w:tcPr>
          <w:p w14:paraId="7B584CAD" w14:textId="53D75B1D" w:rsidR="009E6793" w:rsidRPr="00C360A6" w:rsidRDefault="009E6793" w:rsidP="0053739A">
            <w:pPr>
              <w:pStyle w:val="Tabletext"/>
            </w:pPr>
            <w:r w:rsidRPr="00C360A6">
              <w:t>2022</w:t>
            </w:r>
            <w:r w:rsidR="003E7469">
              <w:t>–</w:t>
            </w:r>
            <w:r w:rsidR="00251580">
              <w:t>23</w:t>
            </w:r>
          </w:p>
        </w:tc>
        <w:tc>
          <w:tcPr>
            <w:tcW w:w="3351" w:type="dxa"/>
          </w:tcPr>
          <w:p w14:paraId="7C85A165" w14:textId="4D6E8B45" w:rsidR="009E6793" w:rsidRPr="00C360A6" w:rsidRDefault="009E6793" w:rsidP="0053739A">
            <w:pPr>
              <w:pStyle w:val="Tabletext"/>
            </w:pPr>
            <w:r w:rsidRPr="00C360A6">
              <w:t xml:space="preserve">Clearer understanding of strategies to strengthen and build digital connectedness </w:t>
            </w:r>
            <w:r w:rsidR="004C4301" w:rsidRPr="00C360A6">
              <w:t xml:space="preserve">among </w:t>
            </w:r>
            <w:r w:rsidRPr="00C360A6">
              <w:t>Victorian seniors</w:t>
            </w:r>
          </w:p>
        </w:tc>
      </w:tr>
      <w:tr w:rsidR="009E6793" w:rsidRPr="00C360A6" w14:paraId="2DB72BAE" w14:textId="77777777" w:rsidTr="003122D9">
        <w:tc>
          <w:tcPr>
            <w:tcW w:w="4390" w:type="dxa"/>
          </w:tcPr>
          <w:p w14:paraId="2D5DCDB5" w14:textId="5712CD82" w:rsidR="009E6793" w:rsidRPr="00C360A6" w:rsidRDefault="004C4301" w:rsidP="0053739A">
            <w:pPr>
              <w:pStyle w:val="Tabletext"/>
            </w:pPr>
            <w:r w:rsidRPr="00C360A6">
              <w:t xml:space="preserve">Older people are more vulnerable to injury and death in road crashes. </w:t>
            </w:r>
            <w:r w:rsidR="009E6793" w:rsidRPr="00C360A6">
              <w:t>Explore ways to encourage older people</w:t>
            </w:r>
            <w:r w:rsidRPr="00C360A6">
              <w:t xml:space="preserve"> </w:t>
            </w:r>
            <w:r w:rsidR="009E6793" w:rsidRPr="00C360A6">
              <w:t xml:space="preserve">to </w:t>
            </w:r>
            <w:r w:rsidR="009E6793" w:rsidRPr="00C360A6">
              <w:rPr>
                <w:b/>
                <w:bCs/>
              </w:rPr>
              <w:t>use vehicles fitted with five</w:t>
            </w:r>
            <w:r w:rsidR="00FB4D59" w:rsidRPr="00C360A6">
              <w:rPr>
                <w:b/>
                <w:bCs/>
              </w:rPr>
              <w:t>-</w:t>
            </w:r>
            <w:r w:rsidR="009E6793" w:rsidRPr="00C360A6">
              <w:rPr>
                <w:b/>
                <w:bCs/>
              </w:rPr>
              <w:t>star safety</w:t>
            </w:r>
            <w:r w:rsidR="009E6793" w:rsidRPr="00C360A6">
              <w:t xml:space="preserve"> technologies</w:t>
            </w:r>
            <w:r w:rsidRPr="00C360A6">
              <w:t>.</w:t>
            </w:r>
            <w:r w:rsidR="009E6793" w:rsidRPr="00C360A6">
              <w:t xml:space="preserve"> </w:t>
            </w:r>
            <w:r w:rsidRPr="00C360A6">
              <w:t>D</w:t>
            </w:r>
            <w:r w:rsidR="009E6793" w:rsidRPr="00C360A6">
              <w:t>iversify travel modes to promote</w:t>
            </w:r>
            <w:r w:rsidR="00BB0108" w:rsidRPr="00C360A6">
              <w:t xml:space="preserve"> the</w:t>
            </w:r>
            <w:r w:rsidR="009E6793" w:rsidRPr="00C360A6">
              <w:t xml:space="preserve"> health benefits of active transport.</w:t>
            </w:r>
          </w:p>
        </w:tc>
        <w:tc>
          <w:tcPr>
            <w:tcW w:w="1275" w:type="dxa"/>
          </w:tcPr>
          <w:p w14:paraId="02A95BAB" w14:textId="77777777" w:rsidR="009E6793" w:rsidRPr="00C360A6" w:rsidRDefault="009E6793" w:rsidP="0053739A">
            <w:pPr>
              <w:pStyle w:val="Tabletext"/>
            </w:pPr>
            <w:r w:rsidRPr="00C360A6">
              <w:t>From July 2022</w:t>
            </w:r>
          </w:p>
        </w:tc>
        <w:tc>
          <w:tcPr>
            <w:tcW w:w="3351" w:type="dxa"/>
          </w:tcPr>
          <w:p w14:paraId="362E6A77" w14:textId="734C0212" w:rsidR="009E6793" w:rsidRPr="00C360A6" w:rsidRDefault="009E6793" w:rsidP="0053739A">
            <w:pPr>
              <w:pStyle w:val="Tabletext"/>
            </w:pPr>
            <w:r w:rsidRPr="00C360A6">
              <w:t xml:space="preserve">Older drivers and passengers </w:t>
            </w:r>
            <w:r w:rsidR="00FB4D59" w:rsidRPr="00C360A6">
              <w:t xml:space="preserve">are </w:t>
            </w:r>
            <w:r w:rsidRPr="00C360A6">
              <w:t>more aware of the safety benefits of newer vehicles and options for alternative mobility modes</w:t>
            </w:r>
          </w:p>
        </w:tc>
      </w:tr>
    </w:tbl>
    <w:p w14:paraId="6FF70E2C" w14:textId="77777777" w:rsidR="009E6793" w:rsidRPr="00C360A6" w:rsidRDefault="009E6793" w:rsidP="0053739A">
      <w:pPr>
        <w:pStyle w:val="Body"/>
      </w:pPr>
    </w:p>
    <w:tbl>
      <w:tblPr>
        <w:tblStyle w:val="TableGrid"/>
        <w:tblW w:w="0" w:type="auto"/>
        <w:tblLook w:val="0620" w:firstRow="1" w:lastRow="0" w:firstColumn="0" w:lastColumn="0" w:noHBand="1" w:noVBand="1"/>
      </w:tblPr>
      <w:tblGrid>
        <w:gridCol w:w="4390"/>
        <w:gridCol w:w="1417"/>
        <w:gridCol w:w="3209"/>
      </w:tblGrid>
      <w:tr w:rsidR="009E6793" w:rsidRPr="00C360A6" w14:paraId="7C2848ED" w14:textId="77777777" w:rsidTr="696A7B0C">
        <w:trPr>
          <w:tblHeader/>
        </w:trPr>
        <w:tc>
          <w:tcPr>
            <w:tcW w:w="4390" w:type="dxa"/>
          </w:tcPr>
          <w:p w14:paraId="1A293827" w14:textId="45F86540" w:rsidR="009E6793" w:rsidRPr="00C360A6" w:rsidRDefault="009E6793" w:rsidP="0053739A">
            <w:pPr>
              <w:pStyle w:val="Tablecolhead"/>
            </w:pPr>
            <w:r w:rsidRPr="00C360A6">
              <w:t>What the government is delivering</w:t>
            </w:r>
          </w:p>
        </w:tc>
        <w:tc>
          <w:tcPr>
            <w:tcW w:w="1417" w:type="dxa"/>
          </w:tcPr>
          <w:p w14:paraId="3A5BEFA2" w14:textId="77777777" w:rsidR="009E6793" w:rsidRPr="00C360A6" w:rsidRDefault="009E6793" w:rsidP="0053739A">
            <w:pPr>
              <w:pStyle w:val="Tablecolhead"/>
            </w:pPr>
            <w:r w:rsidRPr="00C360A6">
              <w:t>When</w:t>
            </w:r>
          </w:p>
        </w:tc>
        <w:tc>
          <w:tcPr>
            <w:tcW w:w="3209" w:type="dxa"/>
          </w:tcPr>
          <w:p w14:paraId="7404EDEB" w14:textId="77777777" w:rsidR="009E6793" w:rsidRPr="00C360A6" w:rsidRDefault="009E6793" w:rsidP="0053739A">
            <w:pPr>
              <w:pStyle w:val="Tablecolhead"/>
            </w:pPr>
            <w:r w:rsidRPr="00C360A6">
              <w:t>Impact</w:t>
            </w:r>
          </w:p>
        </w:tc>
      </w:tr>
      <w:tr w:rsidR="009E6793" w:rsidRPr="00C360A6" w14:paraId="31F30036" w14:textId="77777777" w:rsidTr="696A7B0C">
        <w:tc>
          <w:tcPr>
            <w:tcW w:w="4390" w:type="dxa"/>
          </w:tcPr>
          <w:p w14:paraId="219A0664" w14:textId="021E1203" w:rsidR="009E6793" w:rsidRPr="00C360A6" w:rsidRDefault="009E6793" w:rsidP="0053739A">
            <w:pPr>
              <w:pStyle w:val="Tabletext"/>
            </w:pPr>
            <w:r w:rsidRPr="00C360A6">
              <w:t xml:space="preserve">The Learn Local network </w:t>
            </w:r>
            <w:r w:rsidR="00BB0108" w:rsidRPr="00C360A6">
              <w:t xml:space="preserve">is </w:t>
            </w:r>
            <w:r w:rsidRPr="00C360A6">
              <w:t>supporting</w:t>
            </w:r>
            <w:r w:rsidRPr="00C360A6">
              <w:rPr>
                <w:b/>
                <w:bCs/>
              </w:rPr>
              <w:t xml:space="preserve"> pre-accredited training in local communities</w:t>
            </w:r>
            <w:r w:rsidR="00BB0108" w:rsidRPr="00C360A6">
              <w:t>. This</w:t>
            </w:r>
            <w:r w:rsidRPr="00C360A6">
              <w:t xml:space="preserve"> includ</w:t>
            </w:r>
            <w:r w:rsidR="00BB0108" w:rsidRPr="00C360A6">
              <w:t>es</w:t>
            </w:r>
            <w:r w:rsidRPr="00C360A6">
              <w:t xml:space="preserve"> core skills training such as digital skills for contemporary workplaces, further </w:t>
            </w:r>
            <w:proofErr w:type="gramStart"/>
            <w:r w:rsidRPr="00C360A6">
              <w:t>study</w:t>
            </w:r>
            <w:proofErr w:type="gramEnd"/>
            <w:r w:rsidRPr="00C360A6">
              <w:t xml:space="preserve"> and life.</w:t>
            </w:r>
          </w:p>
        </w:tc>
        <w:tc>
          <w:tcPr>
            <w:tcW w:w="1417" w:type="dxa"/>
          </w:tcPr>
          <w:p w14:paraId="2CF3FB8D" w14:textId="77777777" w:rsidR="009E6793" w:rsidRPr="00C360A6" w:rsidRDefault="009E6793" w:rsidP="0053739A">
            <w:pPr>
              <w:pStyle w:val="Tabletext"/>
            </w:pPr>
            <w:r w:rsidRPr="00C360A6">
              <w:t>Current and ongoing</w:t>
            </w:r>
          </w:p>
        </w:tc>
        <w:tc>
          <w:tcPr>
            <w:tcW w:w="3209" w:type="dxa"/>
          </w:tcPr>
          <w:p w14:paraId="2706262B" w14:textId="7A09BD92" w:rsidR="009E6793" w:rsidRPr="00C360A6" w:rsidRDefault="009E6793" w:rsidP="0053739A">
            <w:pPr>
              <w:pStyle w:val="Tabletext"/>
            </w:pPr>
            <w:r w:rsidRPr="00C360A6">
              <w:t xml:space="preserve">People have </w:t>
            </w:r>
            <w:proofErr w:type="gramStart"/>
            <w:r w:rsidRPr="00C360A6">
              <w:t>stepping stones</w:t>
            </w:r>
            <w:proofErr w:type="gramEnd"/>
            <w:r w:rsidRPr="00C360A6">
              <w:t xml:space="preserve"> to formal training options and jobs</w:t>
            </w:r>
          </w:p>
        </w:tc>
      </w:tr>
      <w:tr w:rsidR="009E6793" w:rsidRPr="00C360A6" w14:paraId="17B31BC7" w14:textId="77777777" w:rsidTr="696A7B0C">
        <w:tc>
          <w:tcPr>
            <w:tcW w:w="4390" w:type="dxa"/>
          </w:tcPr>
          <w:p w14:paraId="29D8435F" w14:textId="472E5DFB" w:rsidR="009E6793" w:rsidRPr="00C360A6" w:rsidRDefault="009E6793" w:rsidP="0053739A">
            <w:pPr>
              <w:pStyle w:val="Tabletext"/>
            </w:pPr>
            <w:bookmarkStart w:id="30" w:name="_Hlk92187892"/>
            <w:r w:rsidRPr="00C360A6">
              <w:lastRenderedPageBreak/>
              <w:t xml:space="preserve">The Social Seniors program in partnership with Telstra and public libraries. Social Seniors </w:t>
            </w:r>
            <w:r w:rsidR="00BB0108" w:rsidRPr="00C360A6">
              <w:t>offers older people</w:t>
            </w:r>
            <w:r w:rsidR="00BB0108" w:rsidRPr="00C360A6">
              <w:rPr>
                <w:b/>
                <w:bCs/>
              </w:rPr>
              <w:t xml:space="preserve"> </w:t>
            </w:r>
            <w:r w:rsidRPr="00C360A6">
              <w:rPr>
                <w:b/>
                <w:bCs/>
              </w:rPr>
              <w:t xml:space="preserve">low-cost or free training </w:t>
            </w:r>
            <w:r w:rsidRPr="00C360A6">
              <w:t>in libraries in how to use</w:t>
            </w:r>
            <w:r w:rsidRPr="00C360A6">
              <w:rPr>
                <w:b/>
                <w:bCs/>
              </w:rPr>
              <w:t xml:space="preserve"> social media</w:t>
            </w:r>
            <w:r w:rsidRPr="00C360A6">
              <w:t>.</w:t>
            </w:r>
          </w:p>
        </w:tc>
        <w:tc>
          <w:tcPr>
            <w:tcW w:w="1417" w:type="dxa"/>
          </w:tcPr>
          <w:p w14:paraId="689D5692" w14:textId="58D849B0" w:rsidR="009E6793" w:rsidRPr="00C360A6" w:rsidRDefault="009E6793" w:rsidP="0053739A">
            <w:pPr>
              <w:pStyle w:val="Tabletext"/>
            </w:pPr>
            <w:r w:rsidRPr="00C360A6">
              <w:t>2022</w:t>
            </w:r>
            <w:r w:rsidR="0032791F" w:rsidRPr="00C360A6">
              <w:t>–</w:t>
            </w:r>
            <w:r w:rsidRPr="00C360A6">
              <w:t>23</w:t>
            </w:r>
          </w:p>
        </w:tc>
        <w:tc>
          <w:tcPr>
            <w:tcW w:w="3209" w:type="dxa"/>
          </w:tcPr>
          <w:p w14:paraId="770F0EAE" w14:textId="32D89B7B" w:rsidR="009E6793" w:rsidRPr="00C360A6" w:rsidRDefault="009E6793" w:rsidP="0053739A">
            <w:pPr>
              <w:pStyle w:val="Tabletext"/>
            </w:pPr>
            <w:r w:rsidRPr="00C360A6">
              <w:t xml:space="preserve">Increased safe use of social media </w:t>
            </w:r>
            <w:r w:rsidR="00BB0108" w:rsidRPr="00C360A6">
              <w:t xml:space="preserve">among </w:t>
            </w:r>
            <w:r w:rsidRPr="00C360A6">
              <w:t>older Victorians</w:t>
            </w:r>
          </w:p>
        </w:tc>
      </w:tr>
      <w:tr w:rsidR="00474F5E" w:rsidRPr="00C360A6" w14:paraId="129ED44D" w14:textId="77777777" w:rsidTr="696A7B0C">
        <w:tc>
          <w:tcPr>
            <w:tcW w:w="4390" w:type="dxa"/>
          </w:tcPr>
          <w:p w14:paraId="7DE5F57D" w14:textId="7937ACCF" w:rsidR="00474F5E" w:rsidRPr="00C360A6" w:rsidRDefault="00474F5E" w:rsidP="000E704A">
            <w:pPr>
              <w:pStyle w:val="Tabletext"/>
            </w:pPr>
            <w:r w:rsidRPr="00C360A6">
              <w:t xml:space="preserve">Improved cyber safety drawing on existing </w:t>
            </w:r>
            <w:r w:rsidRPr="00C360A6">
              <w:rPr>
                <w:b/>
                <w:bCs/>
              </w:rPr>
              <w:t>scams awareness resources and campaigns</w:t>
            </w:r>
            <w:r w:rsidRPr="00C360A6">
              <w:t xml:space="preserve">, including from the national </w:t>
            </w:r>
            <w:proofErr w:type="spellStart"/>
            <w:r w:rsidRPr="00C360A6">
              <w:t>Scamwatch</w:t>
            </w:r>
            <w:proofErr w:type="spellEnd"/>
            <w:r w:rsidRPr="00C360A6">
              <w:t xml:space="preserve"> network and Consumer Affairs Victoria.</w:t>
            </w:r>
          </w:p>
        </w:tc>
        <w:tc>
          <w:tcPr>
            <w:tcW w:w="1417" w:type="dxa"/>
          </w:tcPr>
          <w:p w14:paraId="7A07BC6C" w14:textId="3D19D863" w:rsidR="00474F5E" w:rsidRPr="00C360A6" w:rsidRDefault="00474F5E" w:rsidP="00474F5E">
            <w:pPr>
              <w:pStyle w:val="Tabletext"/>
              <w:rPr>
                <w:rFonts w:cs="Arial"/>
              </w:rPr>
            </w:pPr>
            <w:r w:rsidRPr="00C360A6">
              <w:rPr>
                <w:rFonts w:cs="Arial"/>
              </w:rPr>
              <w:t>Current and ongoing</w:t>
            </w:r>
          </w:p>
        </w:tc>
        <w:tc>
          <w:tcPr>
            <w:tcW w:w="3209" w:type="dxa"/>
          </w:tcPr>
          <w:p w14:paraId="15D47525" w14:textId="02B8343F" w:rsidR="00474F5E" w:rsidRPr="00C360A6" w:rsidRDefault="4CD1F456" w:rsidP="00474F5E">
            <w:pPr>
              <w:pStyle w:val="Tabletext"/>
              <w:rPr>
                <w:rFonts w:cs="Arial"/>
              </w:rPr>
            </w:pPr>
            <w:r w:rsidRPr="696A7B0C">
              <w:rPr>
                <w:rFonts w:cs="Arial"/>
              </w:rPr>
              <w:t>More people will be able to connect with online information, communication, and resources with confidence to recognise and avoid scams</w:t>
            </w:r>
          </w:p>
        </w:tc>
      </w:tr>
    </w:tbl>
    <w:bookmarkEnd w:id="30"/>
    <w:p w14:paraId="4D3D70CB" w14:textId="3A0A334B" w:rsidR="009E6793" w:rsidRPr="00C360A6" w:rsidRDefault="000C5B56" w:rsidP="000C5B56">
      <w:pPr>
        <w:pStyle w:val="Heading3"/>
        <w:spacing w:after="240"/>
        <w:ind w:left="66"/>
      </w:pPr>
      <w:r>
        <w:t xml:space="preserve">3. </w:t>
      </w:r>
      <w:r w:rsidR="009E6793" w:rsidRPr="000C5B56">
        <w:rPr>
          <w:b/>
          <w:bCs w:val="0"/>
        </w:rPr>
        <w:t xml:space="preserve">Valuing </w:t>
      </w:r>
      <w:r w:rsidR="009F2102" w:rsidRPr="000C5B56">
        <w:rPr>
          <w:b/>
          <w:bCs w:val="0"/>
        </w:rPr>
        <w:t>s</w:t>
      </w:r>
      <w:r w:rsidR="009E6793" w:rsidRPr="000C5B56">
        <w:rPr>
          <w:b/>
          <w:bCs w:val="0"/>
        </w:rPr>
        <w:t>enior Victorians</w:t>
      </w:r>
      <w:r w:rsidR="009E6793" w:rsidRPr="00C360A6">
        <w:t xml:space="preserve"> – </w:t>
      </w:r>
      <w:r w:rsidR="00DE11D5">
        <w:t>I</w:t>
      </w:r>
      <w:r w:rsidR="009E6793" w:rsidRPr="00C360A6">
        <w:t xml:space="preserve">ncreasing the visibility of </w:t>
      </w:r>
      <w:r w:rsidR="009E6793" w:rsidRPr="00C360A6" w:rsidDel="006A5D6F">
        <w:t>older people</w:t>
      </w:r>
      <w:r w:rsidR="009E6793" w:rsidRPr="00C360A6">
        <w:t xml:space="preserve"> as valued and contributing Victorian citizens</w:t>
      </w:r>
    </w:p>
    <w:p w14:paraId="491CEADF" w14:textId="77777777" w:rsidR="009E6793" w:rsidRPr="00C360A6" w:rsidRDefault="009E6793" w:rsidP="00B743FD">
      <w:pPr>
        <w:pStyle w:val="Heading4"/>
      </w:pPr>
      <w:r w:rsidRPr="00C360A6">
        <w:t>Tackling ageism and discrimination</w:t>
      </w:r>
    </w:p>
    <w:p w14:paraId="756B3FA8" w14:textId="2F1CE936" w:rsidR="009E6793" w:rsidRPr="008F4A3A" w:rsidRDefault="009E6793" w:rsidP="0053739A">
      <w:pPr>
        <w:pStyle w:val="Body"/>
      </w:pPr>
      <w:r w:rsidRPr="008F4A3A">
        <w:t>No matter their age, background or gender, most people want to be part of our whole community</w:t>
      </w:r>
      <w:r w:rsidR="006F45C2" w:rsidRPr="008F4A3A">
        <w:t>. They want to be</w:t>
      </w:r>
      <w:r w:rsidRPr="008F4A3A">
        <w:t xml:space="preserve"> valued for their contribution and treated with respect. To age well requires our community to have a positive view of older people</w:t>
      </w:r>
      <w:r w:rsidR="006F45C2" w:rsidRPr="008F4A3A">
        <w:t>. It means</w:t>
      </w:r>
      <w:r w:rsidRPr="008F4A3A">
        <w:t xml:space="preserve"> recognis</w:t>
      </w:r>
      <w:r w:rsidR="006F45C2" w:rsidRPr="008F4A3A">
        <w:t>ing</w:t>
      </w:r>
      <w:r w:rsidRPr="008F4A3A">
        <w:t xml:space="preserve"> their ability to contribute to society and the economy. </w:t>
      </w:r>
      <w:r w:rsidR="006F45C2" w:rsidRPr="008F4A3A">
        <w:t xml:space="preserve">But </w:t>
      </w:r>
      <w:r w:rsidRPr="008F4A3A">
        <w:t>many older people talk about their experience of ‘becoming invisible’ as they age</w:t>
      </w:r>
      <w:r w:rsidR="006F45C2" w:rsidRPr="008F4A3A">
        <w:t>. They</w:t>
      </w:r>
      <w:r w:rsidRPr="008F4A3A">
        <w:t xml:space="preserve"> are concerned their needs are often not acknowledged within the wider community.</w:t>
      </w:r>
    </w:p>
    <w:p w14:paraId="158AF019" w14:textId="032B8A8C" w:rsidR="0000715C" w:rsidRPr="00C360A6" w:rsidRDefault="009E6793" w:rsidP="003122D9">
      <w:pPr>
        <w:pStyle w:val="Body"/>
      </w:pPr>
      <w:r w:rsidRPr="00C360A6">
        <w:t xml:space="preserve">Being treated differently because of your age can lead to feeling vulnerable and can erode self-esteem. While ageism is a driver of elder abuse, women are more likely than men to be victims through lifelong patterns of family violence. Women’s longer life expectancy means many more women live alone in later life. </w:t>
      </w:r>
      <w:r w:rsidR="0000715C" w:rsidRPr="00C360A6">
        <w:t>The number of homeless older women is increasing d</w:t>
      </w:r>
      <w:r w:rsidRPr="00C360A6">
        <w:t>ue to</w:t>
      </w:r>
      <w:r w:rsidR="0000715C" w:rsidRPr="00C360A6">
        <w:t>:</w:t>
      </w:r>
    </w:p>
    <w:p w14:paraId="7DCC12D1" w14:textId="0DAB22A3" w:rsidR="0000715C" w:rsidRPr="00C360A6" w:rsidRDefault="009E6793" w:rsidP="006F4C32">
      <w:pPr>
        <w:pStyle w:val="Bullet1"/>
      </w:pPr>
      <w:r w:rsidRPr="00C360A6">
        <w:t>family violence</w:t>
      </w:r>
    </w:p>
    <w:p w14:paraId="4F979774" w14:textId="795C88A0" w:rsidR="0000715C" w:rsidRPr="00C360A6" w:rsidRDefault="009E6793" w:rsidP="006F4C32">
      <w:pPr>
        <w:pStyle w:val="Bullet1"/>
      </w:pPr>
      <w:r w:rsidRPr="00C360A6">
        <w:t xml:space="preserve">insecure housing and income </w:t>
      </w:r>
    </w:p>
    <w:p w14:paraId="2E75F749" w14:textId="043D7E84" w:rsidR="009E6793" w:rsidRPr="00C360A6" w:rsidRDefault="009E6793" w:rsidP="006F4C32">
      <w:pPr>
        <w:pStyle w:val="Bullet1"/>
      </w:pPr>
      <w:r w:rsidRPr="00C360A6">
        <w:t>lack of superannuation.</w:t>
      </w:r>
    </w:p>
    <w:p w14:paraId="7E9C6AAE" w14:textId="138DD364" w:rsidR="009E6793" w:rsidRPr="00C360A6" w:rsidRDefault="009E6793" w:rsidP="006F4C32">
      <w:pPr>
        <w:pStyle w:val="Bodyafterbullets"/>
      </w:pPr>
      <w:r w:rsidRPr="00C360A6">
        <w:t xml:space="preserve">In 2020, Age Discrimination Commissioner Dr Kaye Paterson AO reported ageism across all ages </w:t>
      </w:r>
      <w:r w:rsidR="00DE3D4D" w:rsidRPr="00C360A6">
        <w:t>a</w:t>
      </w:r>
      <w:r w:rsidRPr="00C360A6">
        <w:t>s the most accepted form of prejudice in Australia. The average duration of mature age unemployment is 75 weeks</w:t>
      </w:r>
      <w:r w:rsidR="00DE3D4D" w:rsidRPr="00C360A6">
        <w:t>. This</w:t>
      </w:r>
      <w:r w:rsidRPr="00C360A6">
        <w:t xml:space="preserve"> compare</w:t>
      </w:r>
      <w:r w:rsidR="00DE3D4D" w:rsidRPr="00C360A6">
        <w:t>s</w:t>
      </w:r>
      <w:r w:rsidRPr="00C360A6">
        <w:t xml:space="preserve"> with 48 weeks across all age groups.</w:t>
      </w:r>
      <w:r w:rsidR="00443AFA" w:rsidRPr="00C360A6">
        <w:t xml:space="preserve"> </w:t>
      </w:r>
      <w:r w:rsidRPr="00C360A6">
        <w:t xml:space="preserve">Older age is the </w:t>
      </w:r>
      <w:r w:rsidR="009A050C" w:rsidRPr="00C360A6">
        <w:t xml:space="preserve">main </w:t>
      </w:r>
      <w:r w:rsidRPr="00C360A6">
        <w:t>reason why employers reject job applications. A study by the University of New South Wales found increases in older-age participation in work are slowing</w:t>
      </w:r>
      <w:r w:rsidR="009A050C" w:rsidRPr="00C360A6">
        <w:t>. This is despite</w:t>
      </w:r>
      <w:r w:rsidRPr="00C360A6">
        <w:t xml:space="preserve"> older Australians </w:t>
      </w:r>
      <w:r w:rsidR="009A050C" w:rsidRPr="00C360A6">
        <w:t xml:space="preserve">being </w:t>
      </w:r>
      <w:r w:rsidRPr="00C360A6">
        <w:t xml:space="preserve">healthier, more </w:t>
      </w:r>
      <w:proofErr w:type="gramStart"/>
      <w:r w:rsidRPr="00C360A6">
        <w:t>educated</w:t>
      </w:r>
      <w:proofErr w:type="gramEnd"/>
      <w:r w:rsidRPr="00C360A6">
        <w:t xml:space="preserve"> and more employable.</w:t>
      </w:r>
    </w:p>
    <w:p w14:paraId="51B59A22" w14:textId="0DB14B21" w:rsidR="009E6793" w:rsidRPr="00C360A6" w:rsidRDefault="009E6793" w:rsidP="0053739A">
      <w:pPr>
        <w:pStyle w:val="Body"/>
      </w:pPr>
      <w:r w:rsidRPr="00C360A6">
        <w:t xml:space="preserve">Older LGBTIQ+ people are likely to have experienced a history of stigma, </w:t>
      </w:r>
      <w:proofErr w:type="gramStart"/>
      <w:r w:rsidRPr="00C360A6">
        <w:t>isolation</w:t>
      </w:r>
      <w:proofErr w:type="gramEnd"/>
      <w:r w:rsidRPr="00C360A6">
        <w:t xml:space="preserve"> and criminalisation during most of their lifetime. This can have consequences for how private and discreet some are about their sexuality. For example, there is a trend of returning to live in ‘the closet’ once entering aged care due to a fear of discrimination and misunderstanding.</w:t>
      </w:r>
    </w:p>
    <w:p w14:paraId="3EE6ED2F" w14:textId="6DC31498" w:rsidR="009E6793" w:rsidRPr="00C360A6" w:rsidRDefault="009E6793" w:rsidP="0053739A">
      <w:pPr>
        <w:pStyle w:val="Body"/>
      </w:pPr>
      <w:r w:rsidRPr="00C360A6">
        <w:lastRenderedPageBreak/>
        <w:t>Intergenerational programs have the potential to reduce stigma associated with ageing</w:t>
      </w:r>
      <w:r w:rsidR="00995548" w:rsidRPr="00C360A6">
        <w:t>. They can</w:t>
      </w:r>
      <w:r w:rsidRPr="00C360A6">
        <w:t xml:space="preserve"> reduce discrimination and build social capital by strengthening intergenerational ties and promoting mutual support and understanding. Intergenerational programs can reduce or prevent social isolation</w:t>
      </w:r>
      <w:r w:rsidR="00995548" w:rsidRPr="00C360A6">
        <w:t>. They can</w:t>
      </w:r>
      <w:r w:rsidRPr="00C360A6">
        <w:t xml:space="preserve"> nurture a sense of </w:t>
      </w:r>
      <w:r w:rsidR="00995548" w:rsidRPr="00C360A6">
        <w:t xml:space="preserve">taking part </w:t>
      </w:r>
      <w:r w:rsidRPr="00C360A6">
        <w:t xml:space="preserve">and </w:t>
      </w:r>
      <w:r w:rsidR="00995548" w:rsidRPr="00C360A6">
        <w:t xml:space="preserve">of </w:t>
      </w:r>
      <w:r w:rsidRPr="00C360A6">
        <w:t xml:space="preserve">meaningful engagement. </w:t>
      </w:r>
      <w:r w:rsidR="00C24E1E" w:rsidRPr="00C360A6">
        <w:t>Also</w:t>
      </w:r>
      <w:r w:rsidRPr="00C360A6">
        <w:t>, by enabling older adults to mentor or tutor children and youth, intergenerational programs have the potential to improve life outcomes for younger people.</w:t>
      </w:r>
    </w:p>
    <w:p w14:paraId="3C25EDF4" w14:textId="033C1D63" w:rsidR="009E6793" w:rsidRPr="00C360A6" w:rsidRDefault="009E6793" w:rsidP="0053739A">
      <w:pPr>
        <w:pStyle w:val="Body"/>
      </w:pPr>
      <w:r w:rsidRPr="00C360A6">
        <w:t xml:space="preserve">Providing support to employers to recruit and </w:t>
      </w:r>
      <w:r w:rsidR="00995548" w:rsidRPr="00C360A6">
        <w:t xml:space="preserve">keep on </w:t>
      </w:r>
      <w:r w:rsidRPr="00C360A6">
        <w:t>older workers can address age discrimination in the workplace.</w:t>
      </w:r>
    </w:p>
    <w:tbl>
      <w:tblPr>
        <w:tblStyle w:val="TableGrid"/>
        <w:tblW w:w="0" w:type="auto"/>
        <w:tblLook w:val="0620" w:firstRow="1" w:lastRow="0" w:firstColumn="0" w:lastColumn="0" w:noHBand="1" w:noVBand="1"/>
      </w:tblPr>
      <w:tblGrid>
        <w:gridCol w:w="4390"/>
        <w:gridCol w:w="1275"/>
        <w:gridCol w:w="3351"/>
      </w:tblGrid>
      <w:tr w:rsidR="009E6793" w:rsidRPr="00C360A6" w14:paraId="34F63391" w14:textId="77777777" w:rsidTr="696A7B0C">
        <w:trPr>
          <w:tblHeader/>
        </w:trPr>
        <w:tc>
          <w:tcPr>
            <w:tcW w:w="4390" w:type="dxa"/>
          </w:tcPr>
          <w:p w14:paraId="5F1E90E3" w14:textId="6D798BAD" w:rsidR="009E6793" w:rsidRPr="00C360A6" w:rsidRDefault="009E6793" w:rsidP="003122D9">
            <w:pPr>
              <w:pStyle w:val="Tablecolhead"/>
            </w:pPr>
            <w:r w:rsidRPr="00C360A6">
              <w:t>What the government will deliver</w:t>
            </w:r>
          </w:p>
        </w:tc>
        <w:tc>
          <w:tcPr>
            <w:tcW w:w="1275" w:type="dxa"/>
          </w:tcPr>
          <w:p w14:paraId="32A945FB" w14:textId="77777777" w:rsidR="009E6793" w:rsidRPr="00C360A6" w:rsidRDefault="009E6793" w:rsidP="003122D9">
            <w:pPr>
              <w:pStyle w:val="Tablecolhead"/>
            </w:pPr>
            <w:r w:rsidRPr="00C360A6">
              <w:t>When</w:t>
            </w:r>
          </w:p>
        </w:tc>
        <w:tc>
          <w:tcPr>
            <w:tcW w:w="3351" w:type="dxa"/>
          </w:tcPr>
          <w:p w14:paraId="22EE8F25" w14:textId="77777777" w:rsidR="009E6793" w:rsidRPr="00C360A6" w:rsidRDefault="009E6793" w:rsidP="003122D9">
            <w:pPr>
              <w:pStyle w:val="Tablecolhead"/>
            </w:pPr>
            <w:r w:rsidRPr="00C360A6">
              <w:t>Impact</w:t>
            </w:r>
          </w:p>
        </w:tc>
      </w:tr>
      <w:tr w:rsidR="004A5F6D" w:rsidRPr="00C360A6" w14:paraId="4CBFD54C" w14:textId="77777777" w:rsidTr="696A7B0C">
        <w:tc>
          <w:tcPr>
            <w:tcW w:w="4390" w:type="dxa"/>
          </w:tcPr>
          <w:p w14:paraId="3101317D" w14:textId="77777777" w:rsidR="004A5F6D" w:rsidRPr="00C360A6" w:rsidRDefault="004A5F6D" w:rsidP="00F13D76">
            <w:pPr>
              <w:pStyle w:val="Tabletext"/>
            </w:pPr>
            <w:r w:rsidRPr="00C360A6">
              <w:rPr>
                <w:lang w:eastAsia="en-AU"/>
              </w:rPr>
              <w:t>Extending the Seniors Card to Aboriginal people from age 50 years.</w:t>
            </w:r>
          </w:p>
        </w:tc>
        <w:tc>
          <w:tcPr>
            <w:tcW w:w="1275" w:type="dxa"/>
          </w:tcPr>
          <w:p w14:paraId="15D443FB" w14:textId="77777777" w:rsidR="004A5F6D" w:rsidRPr="00C360A6" w:rsidRDefault="004A5F6D" w:rsidP="00F13D76">
            <w:pPr>
              <w:pStyle w:val="Tabletext"/>
            </w:pPr>
            <w:r w:rsidRPr="00C360A6">
              <w:t>From 2022</w:t>
            </w:r>
          </w:p>
        </w:tc>
        <w:tc>
          <w:tcPr>
            <w:tcW w:w="3351" w:type="dxa"/>
          </w:tcPr>
          <w:p w14:paraId="0B40B72C" w14:textId="77777777" w:rsidR="004A5F6D" w:rsidRPr="00C360A6" w:rsidRDefault="004A5F6D" w:rsidP="00F13D76">
            <w:pPr>
              <w:pStyle w:val="Tabletext"/>
            </w:pPr>
            <w:r w:rsidRPr="00C360A6">
              <w:t>More Aboriginal older people will have access to Seniors Card benefits</w:t>
            </w:r>
          </w:p>
        </w:tc>
      </w:tr>
      <w:tr w:rsidR="009E6793" w:rsidRPr="00C360A6" w14:paraId="037A3F40" w14:textId="77777777" w:rsidTr="696A7B0C">
        <w:tc>
          <w:tcPr>
            <w:tcW w:w="4390" w:type="dxa"/>
          </w:tcPr>
          <w:p w14:paraId="7D5E56FA" w14:textId="29849096" w:rsidR="009E6793" w:rsidRPr="00C360A6" w:rsidRDefault="009E6793" w:rsidP="003122D9">
            <w:pPr>
              <w:pStyle w:val="Tabletext"/>
            </w:pPr>
            <w:r w:rsidRPr="00C360A6">
              <w:t>The</w:t>
            </w:r>
            <w:r w:rsidRPr="00C360A6">
              <w:rPr>
                <w:b/>
                <w:bCs/>
              </w:rPr>
              <w:t xml:space="preserve"> </w:t>
            </w:r>
            <w:r w:rsidRPr="000E704A">
              <w:rPr>
                <w:b/>
                <w:bCs/>
              </w:rPr>
              <w:t xml:space="preserve">State </w:t>
            </w:r>
            <w:r w:rsidR="001A2238" w:rsidRPr="000E704A">
              <w:rPr>
                <w:b/>
                <w:bCs/>
              </w:rPr>
              <w:t>d</w:t>
            </w:r>
            <w:r w:rsidRPr="000E704A">
              <w:rPr>
                <w:b/>
                <w:bCs/>
              </w:rPr>
              <w:t xml:space="preserve">isability </w:t>
            </w:r>
            <w:r w:rsidR="001A2238" w:rsidRPr="000E704A">
              <w:rPr>
                <w:b/>
                <w:bCs/>
              </w:rPr>
              <w:t>p</w:t>
            </w:r>
            <w:r w:rsidRPr="000E704A">
              <w:rPr>
                <w:b/>
                <w:bCs/>
              </w:rPr>
              <w:t>lan 2022</w:t>
            </w:r>
            <w:r w:rsidR="001A2238" w:rsidRPr="000E704A">
              <w:rPr>
                <w:b/>
                <w:bCs/>
              </w:rPr>
              <w:t>–</w:t>
            </w:r>
            <w:r w:rsidRPr="000E704A">
              <w:rPr>
                <w:b/>
                <w:bCs/>
              </w:rPr>
              <w:t>26</w:t>
            </w:r>
            <w:r w:rsidR="006325D4" w:rsidRPr="00C360A6">
              <w:t>. The plan</w:t>
            </w:r>
            <w:r w:rsidR="006325D4" w:rsidRPr="00C360A6">
              <w:rPr>
                <w:b/>
                <w:bCs/>
              </w:rPr>
              <w:t xml:space="preserve"> </w:t>
            </w:r>
            <w:r w:rsidRPr="00C360A6">
              <w:t>aims to embed universal design principles in all elements of the design and delivery of infrastructure projects</w:t>
            </w:r>
            <w:r w:rsidR="002C5FD7" w:rsidRPr="00C360A6">
              <w:t>. It seeks</w:t>
            </w:r>
            <w:r w:rsidRPr="00C360A6">
              <w:t xml:space="preserve"> </w:t>
            </w:r>
            <w:r w:rsidR="002C5FD7" w:rsidRPr="00C360A6">
              <w:t xml:space="preserve">to </w:t>
            </w:r>
            <w:r w:rsidRPr="00C360A6">
              <w:t>identify opportunities to strengthen safeguards to better protect people with disability who are at risk of abuse or neglect.</w:t>
            </w:r>
            <w:r w:rsidR="002C5FD7" w:rsidRPr="00C360A6">
              <w:t xml:space="preserve"> This includes older Victorians.</w:t>
            </w:r>
          </w:p>
        </w:tc>
        <w:tc>
          <w:tcPr>
            <w:tcW w:w="1275" w:type="dxa"/>
          </w:tcPr>
          <w:p w14:paraId="273BB1A7" w14:textId="77777777" w:rsidR="009E6793" w:rsidRPr="00C360A6" w:rsidRDefault="009E6793" w:rsidP="003122D9">
            <w:pPr>
              <w:pStyle w:val="Tabletext"/>
            </w:pPr>
            <w:r w:rsidRPr="00C360A6">
              <w:t>From July 2022</w:t>
            </w:r>
          </w:p>
        </w:tc>
        <w:tc>
          <w:tcPr>
            <w:tcW w:w="3351" w:type="dxa"/>
          </w:tcPr>
          <w:p w14:paraId="381B1ED2" w14:textId="02991EA9" w:rsidR="009E6793" w:rsidRPr="00C360A6" w:rsidRDefault="009E6793" w:rsidP="003122D9">
            <w:pPr>
              <w:pStyle w:val="Tabletext"/>
            </w:pPr>
            <w:r>
              <w:t>Improved design and delivery of infrastructure projects for older Victorians and strengthened inclusive practices and better outcomes for people with disability</w:t>
            </w:r>
          </w:p>
        </w:tc>
      </w:tr>
      <w:tr w:rsidR="009E6793" w:rsidRPr="00C360A6" w14:paraId="3C1AFBD1" w14:textId="77777777" w:rsidTr="696A7B0C">
        <w:tc>
          <w:tcPr>
            <w:tcW w:w="4390" w:type="dxa"/>
            <w:hideMark/>
          </w:tcPr>
          <w:p w14:paraId="3DFB4766" w14:textId="068916D3" w:rsidR="009E6793" w:rsidRPr="00C360A6" w:rsidRDefault="006325D4" w:rsidP="003122D9">
            <w:pPr>
              <w:pStyle w:val="Tabletext"/>
              <w:rPr>
                <w:b/>
                <w:bCs/>
                <w:color w:val="4472C4"/>
              </w:rPr>
            </w:pPr>
            <w:r w:rsidRPr="00C360A6">
              <w:t>A</w:t>
            </w:r>
            <w:r w:rsidR="009E6793" w:rsidRPr="00C360A6">
              <w:t xml:space="preserve">lliances and collaborations on activities to </w:t>
            </w:r>
            <w:r w:rsidR="009E6793" w:rsidRPr="00C360A6">
              <w:rPr>
                <w:b/>
                <w:bCs/>
              </w:rPr>
              <w:t>improve awareness of ageism</w:t>
            </w:r>
            <w:r w:rsidRPr="00C360A6">
              <w:t xml:space="preserve"> (</w:t>
            </w:r>
            <w:r w:rsidRPr="00C360A6">
              <w:rPr>
                <w:bCs/>
              </w:rPr>
              <w:t>Commissioner for Senior Victorians)</w:t>
            </w:r>
            <w:r w:rsidR="002C5FD7" w:rsidRPr="00C360A6">
              <w:t>. This</w:t>
            </w:r>
            <w:r w:rsidR="009E6793" w:rsidRPr="00C360A6">
              <w:t xml:space="preserve"> includ</w:t>
            </w:r>
            <w:r w:rsidR="002C5FD7" w:rsidRPr="00C360A6">
              <w:t>es</w:t>
            </w:r>
            <w:r w:rsidR="009E6793" w:rsidRPr="00C360A6">
              <w:t xml:space="preserve"> working with </w:t>
            </w:r>
            <w:proofErr w:type="gramStart"/>
            <w:r w:rsidR="009E6793" w:rsidRPr="00C360A6">
              <w:t>the Every</w:t>
            </w:r>
            <w:proofErr w:type="gramEnd"/>
            <w:r w:rsidR="009E6793" w:rsidRPr="00C360A6">
              <w:rPr>
                <w:bCs/>
              </w:rPr>
              <w:t xml:space="preserve"> Age Counts</w:t>
            </w:r>
            <w:r w:rsidR="009E6793" w:rsidRPr="00C360A6">
              <w:t xml:space="preserve"> campaign</w:t>
            </w:r>
            <w:r w:rsidR="002C5FD7" w:rsidRPr="00C360A6">
              <w:t xml:space="preserve">. </w:t>
            </w:r>
            <w:r w:rsidRPr="00C360A6">
              <w:t>Every</w:t>
            </w:r>
            <w:r w:rsidRPr="00C360A6">
              <w:rPr>
                <w:bCs/>
              </w:rPr>
              <w:t xml:space="preserve"> Age Counts</w:t>
            </w:r>
            <w:r w:rsidRPr="00C360A6">
              <w:t xml:space="preserve"> </w:t>
            </w:r>
            <w:r w:rsidR="002C5FD7" w:rsidRPr="00C360A6">
              <w:t>is a long-term national campaign</w:t>
            </w:r>
            <w:r w:rsidR="009E6793" w:rsidRPr="00C360A6">
              <w:t xml:space="preserve"> tackling ageism</w:t>
            </w:r>
            <w:r w:rsidR="002C5FD7" w:rsidRPr="00C360A6">
              <w:t>. It aims</w:t>
            </w:r>
            <w:r w:rsidR="009E6793" w:rsidRPr="00C360A6">
              <w:t xml:space="preserve"> to improve </w:t>
            </w:r>
            <w:r w:rsidR="002C5FD7" w:rsidRPr="00C360A6">
              <w:t xml:space="preserve">the </w:t>
            </w:r>
            <w:r w:rsidR="009E6793" w:rsidRPr="00C360A6">
              <w:t>value and respect afforded to older people and the experience of growing older.</w:t>
            </w:r>
          </w:p>
        </w:tc>
        <w:tc>
          <w:tcPr>
            <w:tcW w:w="1275" w:type="dxa"/>
            <w:hideMark/>
          </w:tcPr>
          <w:p w14:paraId="6BEEDF81" w14:textId="77777777" w:rsidR="009E6793" w:rsidRPr="00C360A6" w:rsidRDefault="009E6793" w:rsidP="003122D9">
            <w:pPr>
              <w:pStyle w:val="Tabletext"/>
            </w:pPr>
            <w:r w:rsidRPr="00C360A6">
              <w:t>From 2022</w:t>
            </w:r>
          </w:p>
        </w:tc>
        <w:tc>
          <w:tcPr>
            <w:tcW w:w="3351" w:type="dxa"/>
            <w:hideMark/>
          </w:tcPr>
          <w:p w14:paraId="460154B2" w14:textId="543D5A64" w:rsidR="009E6793" w:rsidRPr="00C360A6" w:rsidRDefault="009E6793" w:rsidP="003122D9">
            <w:pPr>
              <w:pStyle w:val="Tabletext"/>
            </w:pPr>
            <w:r w:rsidRPr="00C360A6">
              <w:t>Increase</w:t>
            </w:r>
            <w:r w:rsidR="002C5FD7" w:rsidRPr="00C360A6">
              <w:t>d</w:t>
            </w:r>
            <w:r w:rsidRPr="00C360A6">
              <w:t xml:space="preserve"> awareness of the negative impacts of ageism and respect for older Victorians</w:t>
            </w:r>
          </w:p>
        </w:tc>
      </w:tr>
      <w:tr w:rsidR="009E6793" w:rsidRPr="00C360A6" w14:paraId="42C77A88" w14:textId="77777777" w:rsidTr="696A7B0C">
        <w:tc>
          <w:tcPr>
            <w:tcW w:w="4390" w:type="dxa"/>
          </w:tcPr>
          <w:p w14:paraId="723B61E1" w14:textId="50C1A1F1" w:rsidR="009E6793" w:rsidRPr="00C360A6" w:rsidRDefault="009E6793" w:rsidP="003122D9">
            <w:pPr>
              <w:pStyle w:val="Tabletext"/>
            </w:pPr>
            <w:r w:rsidRPr="00C360A6">
              <w:t xml:space="preserve">Action to </w:t>
            </w:r>
            <w:r w:rsidRPr="00C360A6">
              <w:rPr>
                <w:b/>
                <w:bCs/>
              </w:rPr>
              <w:t>address the barriers faced by women</w:t>
            </w:r>
            <w:r w:rsidRPr="00C360A6">
              <w:t xml:space="preserve"> that contribute to disadvantage in later life through the renewed</w:t>
            </w:r>
            <w:r w:rsidRPr="00C360A6">
              <w:rPr>
                <w:i/>
                <w:iCs/>
              </w:rPr>
              <w:t xml:space="preserve"> </w:t>
            </w:r>
            <w:r w:rsidRPr="000E704A">
              <w:rPr>
                <w:b/>
                <w:bCs/>
              </w:rPr>
              <w:t xml:space="preserve">Gender </w:t>
            </w:r>
            <w:r w:rsidR="002C5FD7" w:rsidRPr="000E704A">
              <w:rPr>
                <w:b/>
                <w:bCs/>
              </w:rPr>
              <w:t>e</w:t>
            </w:r>
            <w:r w:rsidRPr="000E704A">
              <w:rPr>
                <w:b/>
                <w:bCs/>
              </w:rPr>
              <w:t>quality strategy</w:t>
            </w:r>
            <w:r w:rsidRPr="00C360A6">
              <w:t>.</w:t>
            </w:r>
          </w:p>
        </w:tc>
        <w:tc>
          <w:tcPr>
            <w:tcW w:w="1275" w:type="dxa"/>
          </w:tcPr>
          <w:p w14:paraId="6B26F696" w14:textId="77777777" w:rsidR="009E6793" w:rsidRPr="00C360A6" w:rsidRDefault="009E6793" w:rsidP="003122D9">
            <w:pPr>
              <w:pStyle w:val="Tabletext"/>
            </w:pPr>
            <w:r w:rsidRPr="00C360A6">
              <w:t>Current and ongoing</w:t>
            </w:r>
          </w:p>
        </w:tc>
        <w:tc>
          <w:tcPr>
            <w:tcW w:w="3351" w:type="dxa"/>
          </w:tcPr>
          <w:p w14:paraId="425CB8C9" w14:textId="77777777" w:rsidR="004B5986" w:rsidRPr="00C360A6" w:rsidRDefault="009E6793" w:rsidP="003122D9">
            <w:pPr>
              <w:pStyle w:val="Tabletext"/>
            </w:pPr>
            <w:r w:rsidRPr="00C360A6">
              <w:t>Increased outcomes for women of all ages across four key focus areas of</w:t>
            </w:r>
            <w:r w:rsidR="004B5986" w:rsidRPr="00C360A6">
              <w:t>:</w:t>
            </w:r>
            <w:r w:rsidRPr="00C360A6">
              <w:t xml:space="preserve"> </w:t>
            </w:r>
          </w:p>
          <w:p w14:paraId="1CAE18C8" w14:textId="2F6E7ECE" w:rsidR="004B5986" w:rsidRPr="00C360A6" w:rsidRDefault="004B5986" w:rsidP="006F4C32">
            <w:pPr>
              <w:pStyle w:val="Tablebullet1"/>
            </w:pPr>
            <w:r w:rsidRPr="00C360A6">
              <w:t>s</w:t>
            </w:r>
            <w:r w:rsidR="009E6793" w:rsidRPr="00C360A6">
              <w:t>afety</w:t>
            </w:r>
          </w:p>
          <w:p w14:paraId="4C12D5D9" w14:textId="4A534231" w:rsidR="004B5986" w:rsidRPr="00C360A6" w:rsidRDefault="009E6793" w:rsidP="006F4C32">
            <w:pPr>
              <w:pStyle w:val="Tablebullet1"/>
            </w:pPr>
            <w:r w:rsidRPr="00C360A6">
              <w:t>health and wellbeing</w:t>
            </w:r>
          </w:p>
          <w:p w14:paraId="580F0146" w14:textId="27FA64B5" w:rsidR="004B5986" w:rsidRPr="00C360A6" w:rsidRDefault="009E6793" w:rsidP="006F4C32">
            <w:pPr>
              <w:pStyle w:val="Tablebullet1"/>
            </w:pPr>
            <w:r w:rsidRPr="00C360A6">
              <w:t>leadership and representation</w:t>
            </w:r>
          </w:p>
          <w:p w14:paraId="291FC4A3" w14:textId="3F7F3AC2" w:rsidR="009E6793" w:rsidRPr="00C360A6" w:rsidRDefault="009E6793" w:rsidP="006F4C32">
            <w:pPr>
              <w:pStyle w:val="Tablebullet1"/>
            </w:pPr>
            <w:r w:rsidRPr="00C360A6">
              <w:t>economic equity</w:t>
            </w:r>
          </w:p>
        </w:tc>
      </w:tr>
      <w:tr w:rsidR="009E6793" w:rsidRPr="00C360A6" w14:paraId="41AC288D" w14:textId="77777777" w:rsidTr="696A7B0C">
        <w:tc>
          <w:tcPr>
            <w:tcW w:w="4390" w:type="dxa"/>
          </w:tcPr>
          <w:p w14:paraId="1BD29BA2" w14:textId="3846EB48" w:rsidR="009E6793" w:rsidRPr="00C360A6" w:rsidRDefault="009E6793" w:rsidP="003122D9">
            <w:pPr>
              <w:pStyle w:val="Tabletext"/>
            </w:pPr>
            <w:r w:rsidRPr="00C360A6">
              <w:t>Refreshed business discount offerings to older people</w:t>
            </w:r>
            <w:r w:rsidRPr="00C360A6">
              <w:rPr>
                <w:b/>
                <w:bCs/>
              </w:rPr>
              <w:t xml:space="preserve"> </w:t>
            </w:r>
            <w:r w:rsidRPr="00C360A6">
              <w:t xml:space="preserve">through the </w:t>
            </w:r>
            <w:r w:rsidRPr="00C360A6">
              <w:rPr>
                <w:b/>
                <w:bCs/>
              </w:rPr>
              <w:t>Seniors Card and Senior Business Discount Card</w:t>
            </w:r>
            <w:r w:rsidRPr="00C360A6">
              <w:t>.</w:t>
            </w:r>
            <w:r w:rsidR="00443AFA" w:rsidRPr="00C360A6">
              <w:t xml:space="preserve"> </w:t>
            </w:r>
            <w:r w:rsidR="00C24E1E" w:rsidRPr="00C360A6">
              <w:t>We will review and update t</w:t>
            </w:r>
            <w:r w:rsidRPr="00C360A6">
              <w:t>he Seniors Card digital channels</w:t>
            </w:r>
            <w:r w:rsidR="004B5986" w:rsidRPr="00C360A6">
              <w:t>. These</w:t>
            </w:r>
            <w:r w:rsidRPr="00C360A6">
              <w:t xml:space="preserve"> </w:t>
            </w:r>
            <w:proofErr w:type="gramStart"/>
            <w:r w:rsidRPr="00C360A6">
              <w:t>includ</w:t>
            </w:r>
            <w:r w:rsidR="004B5986" w:rsidRPr="00C360A6">
              <w:t>e</w:t>
            </w:r>
            <w:r w:rsidRPr="00C360A6">
              <w:t xml:space="preserve"> Seniors Online,</w:t>
            </w:r>
            <w:proofErr w:type="gramEnd"/>
            <w:r w:rsidRPr="00C360A6">
              <w:t xml:space="preserve"> the Seniors </w:t>
            </w:r>
            <w:r w:rsidRPr="00C360A6">
              <w:lastRenderedPageBreak/>
              <w:t>Card Facebook page and a digital Seniors Card.</w:t>
            </w:r>
          </w:p>
        </w:tc>
        <w:tc>
          <w:tcPr>
            <w:tcW w:w="1275" w:type="dxa"/>
          </w:tcPr>
          <w:p w14:paraId="79A9619A" w14:textId="13BCFF2D" w:rsidR="009E6793" w:rsidRPr="00C360A6" w:rsidRDefault="009E6793" w:rsidP="003122D9">
            <w:pPr>
              <w:pStyle w:val="Tabletext"/>
            </w:pPr>
            <w:r w:rsidRPr="00C360A6">
              <w:lastRenderedPageBreak/>
              <w:t>2022</w:t>
            </w:r>
            <w:r w:rsidR="0032791F" w:rsidRPr="00C360A6">
              <w:t>–</w:t>
            </w:r>
            <w:r w:rsidRPr="00C360A6">
              <w:t>23</w:t>
            </w:r>
          </w:p>
        </w:tc>
        <w:tc>
          <w:tcPr>
            <w:tcW w:w="3351" w:type="dxa"/>
          </w:tcPr>
          <w:p w14:paraId="72124348" w14:textId="272E883E" w:rsidR="009E6793" w:rsidRPr="00C360A6" w:rsidRDefault="009E6793" w:rsidP="003122D9">
            <w:pPr>
              <w:pStyle w:val="Tabletext"/>
            </w:pPr>
            <w:r w:rsidRPr="00C360A6">
              <w:t xml:space="preserve">More and easier-to-reach </w:t>
            </w:r>
            <w:r w:rsidR="003A0B59" w:rsidRPr="00C360A6">
              <w:t>S</w:t>
            </w:r>
            <w:r w:rsidRPr="00C360A6">
              <w:t xml:space="preserve">eniors </w:t>
            </w:r>
            <w:r w:rsidR="003A0B59" w:rsidRPr="00C360A6">
              <w:t>C</w:t>
            </w:r>
            <w:r w:rsidRPr="00C360A6">
              <w:t>ard offers will help reduce the cost of living for older people</w:t>
            </w:r>
          </w:p>
        </w:tc>
      </w:tr>
      <w:tr w:rsidR="009E6793" w:rsidRPr="00C360A6" w14:paraId="47B85590" w14:textId="77777777" w:rsidTr="696A7B0C">
        <w:tc>
          <w:tcPr>
            <w:tcW w:w="4390" w:type="dxa"/>
          </w:tcPr>
          <w:p w14:paraId="04AA3F7D" w14:textId="4448020D" w:rsidR="009E6793" w:rsidRPr="00C360A6" w:rsidRDefault="006325D4" w:rsidP="003122D9">
            <w:pPr>
              <w:pStyle w:val="Tabletext"/>
            </w:pPr>
            <w:r w:rsidRPr="00C360A6">
              <w:t xml:space="preserve">Pathways for older people into the </w:t>
            </w:r>
            <w:r w:rsidRPr="00C360A6">
              <w:rPr>
                <w:b/>
                <w:bCs/>
              </w:rPr>
              <w:t>post-compulsory education and training system</w:t>
            </w:r>
            <w:r w:rsidRPr="00C360A6">
              <w:t>. We will w</w:t>
            </w:r>
            <w:r w:rsidR="009E6793" w:rsidRPr="00C360A6">
              <w:t xml:space="preserve">ork with the Victorian Skills Authority and the Department of Education and Training to </w:t>
            </w:r>
            <w:r w:rsidRPr="00C360A6">
              <w:t>deliver this</w:t>
            </w:r>
            <w:r w:rsidR="004B5986" w:rsidRPr="00C360A6">
              <w:t xml:space="preserve">. </w:t>
            </w:r>
            <w:r w:rsidRPr="00C360A6">
              <w:t>It will involve e</w:t>
            </w:r>
            <w:r w:rsidR="004B5986" w:rsidRPr="00C360A6">
              <w:t>xplor</w:t>
            </w:r>
            <w:r w:rsidRPr="00C360A6">
              <w:t>ing</w:t>
            </w:r>
            <w:r w:rsidR="009E6793" w:rsidRPr="00C360A6">
              <w:t xml:space="preserve"> the barriers that prevent </w:t>
            </w:r>
            <w:r w:rsidRPr="00C360A6">
              <w:t xml:space="preserve">older people </w:t>
            </w:r>
            <w:r w:rsidR="009E6793" w:rsidRPr="00C360A6">
              <w:t>from accessing courses for reskilling and retraining</w:t>
            </w:r>
            <w:r w:rsidRPr="00C360A6">
              <w:t>. It will also cover</w:t>
            </w:r>
            <w:r w:rsidR="009E6793" w:rsidRPr="00C360A6">
              <w:t xml:space="preserve"> the associated transition into meaningful employment.</w:t>
            </w:r>
          </w:p>
        </w:tc>
        <w:tc>
          <w:tcPr>
            <w:tcW w:w="1275" w:type="dxa"/>
          </w:tcPr>
          <w:p w14:paraId="12523FC2" w14:textId="6B14BB37" w:rsidR="009E6793" w:rsidRPr="00C360A6" w:rsidRDefault="009E6793" w:rsidP="003122D9">
            <w:pPr>
              <w:pStyle w:val="Tabletext"/>
            </w:pPr>
            <w:r w:rsidRPr="00C360A6">
              <w:t>2022</w:t>
            </w:r>
            <w:r w:rsidR="0032791F" w:rsidRPr="00C360A6">
              <w:t>–</w:t>
            </w:r>
            <w:r w:rsidRPr="00C360A6">
              <w:t>23</w:t>
            </w:r>
          </w:p>
        </w:tc>
        <w:tc>
          <w:tcPr>
            <w:tcW w:w="3351" w:type="dxa"/>
          </w:tcPr>
          <w:p w14:paraId="7864A26E" w14:textId="4296E7C6" w:rsidR="009E6793" w:rsidRPr="00C360A6" w:rsidRDefault="009E6793" w:rsidP="003122D9">
            <w:pPr>
              <w:pStyle w:val="Tabletext"/>
            </w:pPr>
            <w:r w:rsidRPr="00C360A6">
              <w:t>Older long</w:t>
            </w:r>
            <w:r w:rsidR="00234E79" w:rsidRPr="00C360A6">
              <w:t>-</w:t>
            </w:r>
            <w:r w:rsidRPr="00C360A6">
              <w:t>term unemployed people have more opportunity to gain employment</w:t>
            </w:r>
          </w:p>
        </w:tc>
      </w:tr>
      <w:tr w:rsidR="009E6793" w:rsidRPr="00C360A6" w14:paraId="20455202" w14:textId="77777777" w:rsidTr="696A7B0C">
        <w:tc>
          <w:tcPr>
            <w:tcW w:w="4390" w:type="dxa"/>
          </w:tcPr>
          <w:p w14:paraId="6652C698" w14:textId="0EA799A2" w:rsidR="009E6793" w:rsidRPr="00C360A6" w:rsidRDefault="009E6793" w:rsidP="003122D9">
            <w:pPr>
              <w:pStyle w:val="Tabletext"/>
            </w:pPr>
            <w:r w:rsidRPr="00C360A6">
              <w:rPr>
                <w:b/>
              </w:rPr>
              <w:t>Improved housing options</w:t>
            </w:r>
            <w:r w:rsidRPr="00C360A6">
              <w:t xml:space="preserve"> for older people experiencing vulnerability and disadvantage</w:t>
            </w:r>
            <w:r w:rsidR="004B5986" w:rsidRPr="00C360A6">
              <w:t>. This is</w:t>
            </w:r>
            <w:r w:rsidRPr="00C360A6">
              <w:t xml:space="preserve"> based on the principle of ageing in place</w:t>
            </w:r>
            <w:r w:rsidR="004B5986" w:rsidRPr="00C360A6">
              <w:t>. It</w:t>
            </w:r>
            <w:r w:rsidRPr="00C360A6">
              <w:t xml:space="preserve"> includ</w:t>
            </w:r>
            <w:r w:rsidR="004B5986" w:rsidRPr="00C360A6">
              <w:t>es</w:t>
            </w:r>
            <w:r w:rsidRPr="00C360A6">
              <w:t xml:space="preserve"> options to age in place in locations that maint</w:t>
            </w:r>
            <w:r w:rsidR="004B5986" w:rsidRPr="00C360A6">
              <w:t>ain</w:t>
            </w:r>
            <w:r w:rsidRPr="00C360A6">
              <w:t xml:space="preserve"> social networks. This includes action to prevent and respond to homelessness </w:t>
            </w:r>
            <w:r w:rsidR="004B5986" w:rsidRPr="00C360A6">
              <w:t xml:space="preserve">among </w:t>
            </w:r>
            <w:r w:rsidRPr="00C360A6">
              <w:t>older people as a priority cohort.</w:t>
            </w:r>
          </w:p>
        </w:tc>
        <w:tc>
          <w:tcPr>
            <w:tcW w:w="1275" w:type="dxa"/>
          </w:tcPr>
          <w:p w14:paraId="1099A2B1" w14:textId="77777777" w:rsidR="009E6793" w:rsidRPr="00C360A6" w:rsidRDefault="009E6793" w:rsidP="003122D9">
            <w:pPr>
              <w:pStyle w:val="Tabletext"/>
            </w:pPr>
            <w:r w:rsidRPr="00C360A6">
              <w:t>From July 2022</w:t>
            </w:r>
          </w:p>
        </w:tc>
        <w:tc>
          <w:tcPr>
            <w:tcW w:w="3351" w:type="dxa"/>
          </w:tcPr>
          <w:p w14:paraId="7103223C" w14:textId="6C15870C" w:rsidR="009E6793" w:rsidRPr="00C360A6" w:rsidRDefault="009E6793" w:rsidP="003122D9">
            <w:pPr>
              <w:pStyle w:val="Tabletext"/>
            </w:pPr>
            <w:r w:rsidRPr="00C360A6">
              <w:t>More stable housing options for vulnerable older people to age at home with support and social connections</w:t>
            </w:r>
          </w:p>
        </w:tc>
      </w:tr>
      <w:tr w:rsidR="009E6793" w:rsidRPr="00C360A6" w14:paraId="60DA5BDB" w14:textId="77777777" w:rsidTr="696A7B0C">
        <w:tc>
          <w:tcPr>
            <w:tcW w:w="4390" w:type="dxa"/>
          </w:tcPr>
          <w:p w14:paraId="1E67D418" w14:textId="5EEA725E" w:rsidR="009E6793" w:rsidRPr="00C360A6" w:rsidRDefault="00DF0C4C" w:rsidP="003122D9">
            <w:pPr>
              <w:pStyle w:val="Tabletext"/>
              <w:rPr>
                <w:rFonts w:eastAsia="Arial" w:cs="Arial"/>
                <w:sz w:val="20"/>
              </w:rPr>
            </w:pPr>
            <w:r w:rsidRPr="00C360A6">
              <w:rPr>
                <w:rFonts w:eastAsia="Calibri"/>
              </w:rPr>
              <w:t>The c</w:t>
            </w:r>
            <w:r w:rsidR="009E6793" w:rsidRPr="00C360A6">
              <w:rPr>
                <w:rFonts w:eastAsia="Calibri"/>
              </w:rPr>
              <w:t>ontinu</w:t>
            </w:r>
            <w:r w:rsidRPr="00C360A6">
              <w:rPr>
                <w:rFonts w:eastAsia="Calibri"/>
              </w:rPr>
              <w:t>ed</w:t>
            </w:r>
            <w:r w:rsidR="009E6793" w:rsidRPr="00C360A6">
              <w:rPr>
                <w:rFonts w:eastAsia="Calibri"/>
              </w:rPr>
              <w:t xml:space="preserve"> trial of an </w:t>
            </w:r>
            <w:r w:rsidR="009E6793" w:rsidRPr="00C360A6">
              <w:rPr>
                <w:rFonts w:eastAsia="Calibri"/>
                <w:b/>
                <w:bCs/>
              </w:rPr>
              <w:t>integrated model of care for responding to suspected elder abuse</w:t>
            </w:r>
            <w:r w:rsidR="009E6793" w:rsidRPr="00C360A6">
              <w:rPr>
                <w:rFonts w:eastAsia="Calibri"/>
              </w:rPr>
              <w:t xml:space="preserve"> in five public health services.</w:t>
            </w:r>
          </w:p>
        </w:tc>
        <w:tc>
          <w:tcPr>
            <w:tcW w:w="1275" w:type="dxa"/>
          </w:tcPr>
          <w:p w14:paraId="10406D7F" w14:textId="24DCF435" w:rsidR="009E6793" w:rsidRPr="00C360A6" w:rsidRDefault="009E6793" w:rsidP="003122D9">
            <w:pPr>
              <w:pStyle w:val="Tabletext"/>
              <w:rPr>
                <w:rFonts w:eastAsia="Calibri"/>
              </w:rPr>
            </w:pPr>
            <w:r w:rsidRPr="00C360A6">
              <w:rPr>
                <w:rFonts w:eastAsia="Calibri"/>
              </w:rPr>
              <w:t>2022</w:t>
            </w:r>
            <w:r w:rsidR="0032791F" w:rsidRPr="00C360A6">
              <w:rPr>
                <w:rFonts w:eastAsia="Calibri"/>
              </w:rPr>
              <w:t>–</w:t>
            </w:r>
            <w:r w:rsidRPr="00C360A6">
              <w:rPr>
                <w:rFonts w:eastAsia="Calibri"/>
              </w:rPr>
              <w:t xml:space="preserve">23 </w:t>
            </w:r>
          </w:p>
        </w:tc>
        <w:tc>
          <w:tcPr>
            <w:tcW w:w="3351" w:type="dxa"/>
          </w:tcPr>
          <w:p w14:paraId="50622961" w14:textId="244EA9AE" w:rsidR="009E6793" w:rsidRPr="00C360A6" w:rsidRDefault="009E6793" w:rsidP="003122D9">
            <w:pPr>
              <w:pStyle w:val="Tabletext"/>
              <w:rPr>
                <w:rFonts w:eastAsia="Times"/>
              </w:rPr>
            </w:pPr>
            <w:r w:rsidRPr="00C360A6">
              <w:rPr>
                <w:rFonts w:eastAsia="Calibri"/>
              </w:rPr>
              <w:t xml:space="preserve">Strengthened elder abuse identification, </w:t>
            </w:r>
            <w:proofErr w:type="gramStart"/>
            <w:r w:rsidRPr="00C360A6">
              <w:rPr>
                <w:rFonts w:eastAsia="Calibri"/>
              </w:rPr>
              <w:t>responses</w:t>
            </w:r>
            <w:proofErr w:type="gramEnd"/>
            <w:r w:rsidRPr="00C360A6">
              <w:rPr>
                <w:rFonts w:eastAsia="Calibri"/>
              </w:rPr>
              <w:t xml:space="preserve"> and support across five health services</w:t>
            </w:r>
          </w:p>
        </w:tc>
      </w:tr>
      <w:tr w:rsidR="009E6793" w:rsidRPr="00C360A6" w14:paraId="0F6C5ED4" w14:textId="77777777" w:rsidTr="696A7B0C">
        <w:tc>
          <w:tcPr>
            <w:tcW w:w="4390" w:type="dxa"/>
          </w:tcPr>
          <w:p w14:paraId="6BF71BB6" w14:textId="0F12BD51" w:rsidR="009E6793" w:rsidRPr="00C360A6" w:rsidRDefault="009E6793" w:rsidP="003122D9">
            <w:pPr>
              <w:pStyle w:val="Tabletext"/>
              <w:rPr>
                <w:rFonts w:eastAsia="Times"/>
              </w:rPr>
            </w:pPr>
            <w:r w:rsidRPr="00C360A6">
              <w:rPr>
                <w:rFonts w:eastAsia="Calibri"/>
              </w:rPr>
              <w:t xml:space="preserve">Eight </w:t>
            </w:r>
            <w:r w:rsidRPr="00C360A6">
              <w:rPr>
                <w:rFonts w:eastAsia="Calibri"/>
                <w:b/>
                <w:bCs/>
              </w:rPr>
              <w:t>Elder Abuse Prevention Networks</w:t>
            </w:r>
            <w:r w:rsidRPr="00C360A6">
              <w:rPr>
                <w:rFonts w:eastAsia="Calibri"/>
              </w:rPr>
              <w:t xml:space="preserve"> for a further year</w:t>
            </w:r>
            <w:r w:rsidR="00DF0C4C" w:rsidRPr="00C360A6">
              <w:rPr>
                <w:rFonts w:eastAsia="Calibri"/>
              </w:rPr>
              <w:t>. This will</w:t>
            </w:r>
            <w:r w:rsidRPr="00C360A6">
              <w:rPr>
                <w:rFonts w:eastAsia="Calibri"/>
              </w:rPr>
              <w:t xml:space="preserve"> ensure service responses and primary prevention efforts continue to support and </w:t>
            </w:r>
            <w:r w:rsidR="00C24E1E" w:rsidRPr="00C360A6">
              <w:rPr>
                <w:rFonts w:eastAsia="Calibri"/>
              </w:rPr>
              <w:t xml:space="preserve">protect </w:t>
            </w:r>
            <w:r w:rsidRPr="00C360A6">
              <w:rPr>
                <w:rFonts w:eastAsia="Calibri"/>
              </w:rPr>
              <w:t>older Victorians from elder abuse.</w:t>
            </w:r>
          </w:p>
        </w:tc>
        <w:tc>
          <w:tcPr>
            <w:tcW w:w="1275" w:type="dxa"/>
          </w:tcPr>
          <w:p w14:paraId="01EEF986" w14:textId="5CF579FB" w:rsidR="009E6793" w:rsidRPr="00C360A6" w:rsidDel="00296105" w:rsidRDefault="009E6793" w:rsidP="003122D9">
            <w:pPr>
              <w:pStyle w:val="Tabletext"/>
              <w:rPr>
                <w:rFonts w:eastAsia="Calibri"/>
              </w:rPr>
            </w:pPr>
            <w:r w:rsidRPr="00C360A6">
              <w:rPr>
                <w:rFonts w:eastAsia="Calibri"/>
              </w:rPr>
              <w:t>2022</w:t>
            </w:r>
            <w:r w:rsidR="0032791F" w:rsidRPr="00C360A6">
              <w:rPr>
                <w:rFonts w:eastAsia="Calibri"/>
              </w:rPr>
              <w:t>–</w:t>
            </w:r>
            <w:r w:rsidRPr="00C360A6">
              <w:rPr>
                <w:rFonts w:eastAsia="Calibri"/>
              </w:rPr>
              <w:t>23</w:t>
            </w:r>
          </w:p>
        </w:tc>
        <w:tc>
          <w:tcPr>
            <w:tcW w:w="3351" w:type="dxa"/>
          </w:tcPr>
          <w:p w14:paraId="47E74C71" w14:textId="54698976" w:rsidR="009E6793" w:rsidRPr="00C360A6" w:rsidRDefault="009E6793" w:rsidP="003122D9">
            <w:pPr>
              <w:pStyle w:val="Tabletext"/>
              <w:rPr>
                <w:rFonts w:eastAsia="Calibri"/>
              </w:rPr>
            </w:pPr>
            <w:r w:rsidRPr="00C360A6">
              <w:rPr>
                <w:rFonts w:eastAsia="Calibri"/>
              </w:rPr>
              <w:t xml:space="preserve">Elder abuse prevention through targeted local community action that raises awareness of and addresses </w:t>
            </w:r>
            <w:r w:rsidR="007D6765">
              <w:rPr>
                <w:rFonts w:eastAsia="Calibri"/>
              </w:rPr>
              <w:t>the</w:t>
            </w:r>
            <w:r w:rsidRPr="00C360A6">
              <w:rPr>
                <w:rFonts w:eastAsia="Calibri"/>
              </w:rPr>
              <w:t xml:space="preserve"> drivers of elder abuse</w:t>
            </w:r>
          </w:p>
        </w:tc>
      </w:tr>
      <w:tr w:rsidR="009E6793" w:rsidRPr="00C360A6" w14:paraId="3AE79247" w14:textId="77777777" w:rsidTr="696A7B0C">
        <w:tc>
          <w:tcPr>
            <w:tcW w:w="4390" w:type="dxa"/>
          </w:tcPr>
          <w:p w14:paraId="51B30F0B" w14:textId="71FE41BF" w:rsidR="009E6793" w:rsidRPr="00C360A6" w:rsidRDefault="009E6793" w:rsidP="003122D9">
            <w:pPr>
              <w:pStyle w:val="Tabletext"/>
              <w:rPr>
                <w:rFonts w:eastAsia="Times"/>
              </w:rPr>
            </w:pPr>
            <w:r w:rsidRPr="00C360A6">
              <w:rPr>
                <w:rFonts w:eastAsia="Calibri"/>
              </w:rPr>
              <w:t xml:space="preserve">The continuation of the </w:t>
            </w:r>
            <w:r w:rsidRPr="00C360A6">
              <w:rPr>
                <w:rFonts w:eastAsia="Calibri"/>
                <w:b/>
                <w:bCs/>
              </w:rPr>
              <w:t xml:space="preserve">Preventing </w:t>
            </w:r>
            <w:r w:rsidR="00DF0C4C" w:rsidRPr="00C360A6">
              <w:rPr>
                <w:rFonts w:eastAsia="Calibri"/>
                <w:b/>
                <w:bCs/>
              </w:rPr>
              <w:t>E</w:t>
            </w:r>
            <w:r w:rsidRPr="00C360A6">
              <w:rPr>
                <w:rFonts w:eastAsia="Calibri"/>
                <w:b/>
                <w:bCs/>
              </w:rPr>
              <w:t xml:space="preserve">lder </w:t>
            </w:r>
            <w:r w:rsidR="00DF0C4C" w:rsidRPr="00C360A6">
              <w:rPr>
                <w:rFonts w:eastAsia="Calibri"/>
                <w:b/>
                <w:bCs/>
              </w:rPr>
              <w:t>A</w:t>
            </w:r>
            <w:r w:rsidRPr="00C360A6">
              <w:rPr>
                <w:rFonts w:eastAsia="Calibri"/>
                <w:b/>
                <w:bCs/>
              </w:rPr>
              <w:t xml:space="preserve">buse </w:t>
            </w:r>
            <w:r w:rsidR="00DF0C4C" w:rsidRPr="00C360A6">
              <w:rPr>
                <w:rFonts w:eastAsia="Calibri"/>
                <w:b/>
                <w:bCs/>
              </w:rPr>
              <w:t>T</w:t>
            </w:r>
            <w:r w:rsidRPr="00C360A6">
              <w:rPr>
                <w:rFonts w:eastAsia="Calibri"/>
                <w:b/>
                <w:bCs/>
              </w:rPr>
              <w:t xml:space="preserve">hrough </w:t>
            </w:r>
            <w:r w:rsidR="00DF0C4C" w:rsidRPr="00C360A6">
              <w:rPr>
                <w:rFonts w:eastAsia="Calibri"/>
                <w:b/>
                <w:bCs/>
              </w:rPr>
              <w:t>F</w:t>
            </w:r>
            <w:r w:rsidRPr="00C360A6">
              <w:rPr>
                <w:rFonts w:eastAsia="Calibri"/>
                <w:b/>
                <w:bCs/>
              </w:rPr>
              <w:t xml:space="preserve">inancial </w:t>
            </w:r>
            <w:r w:rsidR="00DF0C4C" w:rsidRPr="00C360A6">
              <w:rPr>
                <w:rFonts w:eastAsia="Calibri"/>
                <w:b/>
                <w:bCs/>
              </w:rPr>
              <w:t>C</w:t>
            </w:r>
            <w:r w:rsidRPr="00C360A6">
              <w:rPr>
                <w:rFonts w:eastAsia="Calibri"/>
                <w:b/>
                <w:bCs/>
              </w:rPr>
              <w:t>ounselling</w:t>
            </w:r>
            <w:r w:rsidRPr="00C360A6">
              <w:rPr>
                <w:rFonts w:eastAsia="Calibri"/>
              </w:rPr>
              <w:t xml:space="preserve"> project in bushfire</w:t>
            </w:r>
            <w:r w:rsidR="00DF0C4C" w:rsidRPr="00C360A6">
              <w:rPr>
                <w:rFonts w:eastAsia="Calibri"/>
              </w:rPr>
              <w:t>-</w:t>
            </w:r>
            <w:r w:rsidRPr="00C360A6">
              <w:rPr>
                <w:rFonts w:eastAsia="Calibri"/>
              </w:rPr>
              <w:t>affected communities</w:t>
            </w:r>
            <w:r w:rsidR="00C96250">
              <w:rPr>
                <w:rFonts w:eastAsia="Calibri"/>
              </w:rPr>
              <w:t xml:space="preserve"> of </w:t>
            </w:r>
            <w:r w:rsidRPr="00C360A6">
              <w:rPr>
                <w:rFonts w:eastAsia="Calibri"/>
              </w:rPr>
              <w:t>East Gippsland, Alpine and Towong</w:t>
            </w:r>
            <w:r w:rsidR="00DF0C4C" w:rsidRPr="00C360A6">
              <w:rPr>
                <w:rFonts w:eastAsia="Calibri"/>
              </w:rPr>
              <w:t>. This will</w:t>
            </w:r>
            <w:r w:rsidRPr="00C360A6">
              <w:rPr>
                <w:rFonts w:eastAsia="Calibri"/>
              </w:rPr>
              <w:t xml:space="preserve"> ensur</w:t>
            </w:r>
            <w:r w:rsidR="00DF0C4C" w:rsidRPr="00C360A6">
              <w:rPr>
                <w:rFonts w:eastAsia="Calibri"/>
              </w:rPr>
              <w:t>e</w:t>
            </w:r>
            <w:r w:rsidRPr="00C360A6">
              <w:rPr>
                <w:rFonts w:eastAsia="Calibri"/>
              </w:rPr>
              <w:t xml:space="preserve"> targeted support for older people</w:t>
            </w:r>
            <w:r w:rsidR="00DF0C4C" w:rsidRPr="00C360A6">
              <w:rPr>
                <w:rFonts w:eastAsia="Calibri"/>
              </w:rPr>
              <w:t>. It will help</w:t>
            </w:r>
            <w:r w:rsidRPr="00C360A6">
              <w:rPr>
                <w:rFonts w:eastAsia="Calibri"/>
              </w:rPr>
              <w:t xml:space="preserve"> the finance and related workforces to identify, prevent and respond to elder abuse alongside recovery efforts.</w:t>
            </w:r>
          </w:p>
        </w:tc>
        <w:tc>
          <w:tcPr>
            <w:tcW w:w="1275" w:type="dxa"/>
          </w:tcPr>
          <w:p w14:paraId="5D54F010" w14:textId="20599406" w:rsidR="009E6793" w:rsidRPr="00C360A6" w:rsidRDefault="009E6793" w:rsidP="003122D9">
            <w:pPr>
              <w:pStyle w:val="Tabletext"/>
              <w:rPr>
                <w:rFonts w:eastAsia="Calibri"/>
              </w:rPr>
            </w:pPr>
            <w:r w:rsidRPr="00C360A6">
              <w:rPr>
                <w:rFonts w:eastAsia="Calibri"/>
              </w:rPr>
              <w:t>2022</w:t>
            </w:r>
            <w:r w:rsidR="0032791F" w:rsidRPr="00C360A6">
              <w:rPr>
                <w:rFonts w:eastAsia="Calibri"/>
              </w:rPr>
              <w:t>–</w:t>
            </w:r>
            <w:r w:rsidRPr="00C360A6">
              <w:rPr>
                <w:rFonts w:eastAsia="Calibri"/>
              </w:rPr>
              <w:t>23</w:t>
            </w:r>
          </w:p>
        </w:tc>
        <w:tc>
          <w:tcPr>
            <w:tcW w:w="3351" w:type="dxa"/>
          </w:tcPr>
          <w:p w14:paraId="404BE6F1" w14:textId="5B977F83" w:rsidR="009E6793" w:rsidRPr="005F79B2" w:rsidRDefault="009E6793" w:rsidP="003122D9">
            <w:pPr>
              <w:pStyle w:val="Tabletext"/>
            </w:pPr>
            <w:r w:rsidRPr="00C360A6">
              <w:rPr>
                <w:rFonts w:eastAsia="Calibri"/>
              </w:rPr>
              <w:t>Targeted and timely support to older people in bushfire</w:t>
            </w:r>
            <w:r w:rsidR="00DF0C4C" w:rsidRPr="00C360A6">
              <w:rPr>
                <w:rFonts w:eastAsia="Calibri"/>
              </w:rPr>
              <w:t>-</w:t>
            </w:r>
            <w:r w:rsidRPr="00C360A6">
              <w:rPr>
                <w:rFonts w:eastAsia="Calibri"/>
              </w:rPr>
              <w:t>affected communities</w:t>
            </w:r>
            <w:r w:rsidR="003A0B59" w:rsidRPr="00C360A6">
              <w:rPr>
                <w:rFonts w:eastAsia="Calibri"/>
              </w:rPr>
              <w:t>, helping to</w:t>
            </w:r>
            <w:r w:rsidR="00EF633F" w:rsidRPr="00C360A6">
              <w:rPr>
                <w:rFonts w:eastAsia="Calibri"/>
              </w:rPr>
              <w:t xml:space="preserve"> </w:t>
            </w:r>
            <w:r w:rsidRPr="00C360A6">
              <w:rPr>
                <w:rFonts w:eastAsia="Calibri"/>
              </w:rPr>
              <w:t xml:space="preserve">prevent </w:t>
            </w:r>
            <w:r w:rsidR="00EF633F" w:rsidRPr="00C360A6">
              <w:rPr>
                <w:rFonts w:eastAsia="Calibri"/>
              </w:rPr>
              <w:t xml:space="preserve">or reduce </w:t>
            </w:r>
            <w:r w:rsidRPr="00C360A6">
              <w:rPr>
                <w:rFonts w:eastAsia="Calibri"/>
              </w:rPr>
              <w:t>elder abuse</w:t>
            </w:r>
          </w:p>
        </w:tc>
      </w:tr>
    </w:tbl>
    <w:p w14:paraId="37B56994" w14:textId="77777777" w:rsidR="009E6793" w:rsidRPr="00C360A6" w:rsidRDefault="009E6793" w:rsidP="0053739A">
      <w:pPr>
        <w:pStyle w:val="Body"/>
      </w:pPr>
    </w:p>
    <w:tbl>
      <w:tblPr>
        <w:tblStyle w:val="TableGrid"/>
        <w:tblW w:w="0" w:type="auto"/>
        <w:tblLook w:val="0620" w:firstRow="1" w:lastRow="0" w:firstColumn="0" w:lastColumn="0" w:noHBand="1" w:noVBand="1"/>
      </w:tblPr>
      <w:tblGrid>
        <w:gridCol w:w="4390"/>
        <w:gridCol w:w="1275"/>
        <w:gridCol w:w="3351"/>
      </w:tblGrid>
      <w:tr w:rsidR="009E6793" w:rsidRPr="00C360A6" w14:paraId="35E6E960" w14:textId="77777777" w:rsidTr="696A7B0C">
        <w:trPr>
          <w:tblHeader/>
        </w:trPr>
        <w:tc>
          <w:tcPr>
            <w:tcW w:w="4390" w:type="dxa"/>
          </w:tcPr>
          <w:p w14:paraId="2C606D8B" w14:textId="75469922" w:rsidR="009E6793" w:rsidRPr="00C360A6" w:rsidRDefault="009E6793" w:rsidP="003122D9">
            <w:pPr>
              <w:pStyle w:val="Tablecolhead"/>
            </w:pPr>
            <w:r w:rsidRPr="00C360A6">
              <w:lastRenderedPageBreak/>
              <w:t>What the government is delivering</w:t>
            </w:r>
          </w:p>
        </w:tc>
        <w:tc>
          <w:tcPr>
            <w:tcW w:w="1275" w:type="dxa"/>
          </w:tcPr>
          <w:p w14:paraId="0A573847" w14:textId="77777777" w:rsidR="009E6793" w:rsidRPr="00C360A6" w:rsidRDefault="009E6793" w:rsidP="003122D9">
            <w:pPr>
              <w:pStyle w:val="Tablecolhead"/>
            </w:pPr>
            <w:r w:rsidRPr="00C360A6">
              <w:t>When</w:t>
            </w:r>
          </w:p>
        </w:tc>
        <w:tc>
          <w:tcPr>
            <w:tcW w:w="3351" w:type="dxa"/>
          </w:tcPr>
          <w:p w14:paraId="4F16B9E8" w14:textId="77777777" w:rsidR="009E6793" w:rsidRPr="00C360A6" w:rsidRDefault="009E6793" w:rsidP="003122D9">
            <w:pPr>
              <w:pStyle w:val="Tablecolhead"/>
            </w:pPr>
            <w:r w:rsidRPr="00C360A6">
              <w:t>Impact</w:t>
            </w:r>
          </w:p>
        </w:tc>
      </w:tr>
      <w:tr w:rsidR="009E6793" w:rsidRPr="00C360A6" w14:paraId="005A9FB4" w14:textId="77777777" w:rsidTr="696A7B0C">
        <w:tc>
          <w:tcPr>
            <w:tcW w:w="4390" w:type="dxa"/>
          </w:tcPr>
          <w:p w14:paraId="20C00CBE" w14:textId="1E90A807" w:rsidR="009E6793" w:rsidRPr="00C360A6" w:rsidRDefault="009E6793" w:rsidP="003122D9">
            <w:pPr>
              <w:pStyle w:val="Tabletext"/>
            </w:pPr>
            <w:r w:rsidRPr="00C360A6">
              <w:t>Continued encouragement to councils to plan for people to age well in place through age-friendly communities</w:t>
            </w:r>
            <w:r w:rsidR="00D16FCB" w:rsidRPr="00C360A6">
              <w:t>.</w:t>
            </w:r>
            <w:r w:rsidRPr="00C360A6">
              <w:t xml:space="preserve"> </w:t>
            </w:r>
            <w:r w:rsidR="00D16FCB" w:rsidRPr="00C360A6">
              <w:t>I</w:t>
            </w:r>
            <w:r w:rsidRPr="00C360A6">
              <w:t>mprov</w:t>
            </w:r>
            <w:r w:rsidR="00D16FCB" w:rsidRPr="00C360A6">
              <w:t>ing</w:t>
            </w:r>
            <w:r w:rsidRPr="00C360A6">
              <w:t xml:space="preserve"> the health and wellbeing of older people through </w:t>
            </w:r>
            <w:r w:rsidR="00234E79" w:rsidRPr="00C360A6">
              <w:rPr>
                <w:b/>
                <w:bCs/>
              </w:rPr>
              <w:t>m</w:t>
            </w:r>
            <w:r w:rsidRPr="00C360A6">
              <w:rPr>
                <w:b/>
                <w:bCs/>
              </w:rPr>
              <w:t xml:space="preserve">unicipal </w:t>
            </w:r>
            <w:r w:rsidR="00234E79" w:rsidRPr="00C360A6">
              <w:rPr>
                <w:b/>
                <w:bCs/>
              </w:rPr>
              <w:t>p</w:t>
            </w:r>
            <w:r w:rsidRPr="00C360A6">
              <w:rPr>
                <w:b/>
                <w:bCs/>
              </w:rPr>
              <w:t xml:space="preserve">ublic </w:t>
            </w:r>
            <w:r w:rsidR="00234E79" w:rsidRPr="00C360A6">
              <w:rPr>
                <w:b/>
                <w:bCs/>
              </w:rPr>
              <w:t>h</w:t>
            </w:r>
            <w:r w:rsidRPr="00C360A6">
              <w:rPr>
                <w:b/>
                <w:bCs/>
              </w:rPr>
              <w:t xml:space="preserve">ealth and </w:t>
            </w:r>
            <w:r w:rsidR="00234E79" w:rsidRPr="00C360A6">
              <w:rPr>
                <w:b/>
                <w:bCs/>
              </w:rPr>
              <w:t>w</w:t>
            </w:r>
            <w:r w:rsidRPr="00C360A6">
              <w:rPr>
                <w:b/>
                <w:bCs/>
              </w:rPr>
              <w:t xml:space="preserve">ellbeing </w:t>
            </w:r>
            <w:r w:rsidR="00234E79" w:rsidRPr="00C360A6">
              <w:rPr>
                <w:b/>
                <w:bCs/>
              </w:rPr>
              <w:t>p</w:t>
            </w:r>
            <w:r w:rsidRPr="00C360A6">
              <w:rPr>
                <w:b/>
                <w:bCs/>
              </w:rPr>
              <w:t>lans</w:t>
            </w:r>
            <w:r w:rsidRPr="00C360A6">
              <w:t>.</w:t>
            </w:r>
          </w:p>
        </w:tc>
        <w:tc>
          <w:tcPr>
            <w:tcW w:w="1275" w:type="dxa"/>
          </w:tcPr>
          <w:p w14:paraId="02B59F95" w14:textId="77777777" w:rsidR="009E6793" w:rsidRPr="00C360A6" w:rsidRDefault="009E6793" w:rsidP="003122D9">
            <w:pPr>
              <w:pStyle w:val="Tabletext"/>
            </w:pPr>
            <w:r w:rsidRPr="00C360A6">
              <w:t>Current and ongoing</w:t>
            </w:r>
          </w:p>
        </w:tc>
        <w:tc>
          <w:tcPr>
            <w:tcW w:w="3351" w:type="dxa"/>
          </w:tcPr>
          <w:p w14:paraId="0CB7C058" w14:textId="5E9ED004" w:rsidR="009E6793" w:rsidRPr="00C360A6" w:rsidRDefault="009E6793" w:rsidP="003122D9">
            <w:pPr>
              <w:pStyle w:val="Tabletext"/>
            </w:pPr>
            <w:r w:rsidRPr="00C360A6">
              <w:t xml:space="preserve">The needs of an ageing population are included in </w:t>
            </w:r>
            <w:r w:rsidR="00234E79" w:rsidRPr="00C360A6">
              <w:t>m</w:t>
            </w:r>
            <w:r w:rsidRPr="00C360A6">
              <w:t xml:space="preserve">unicipal </w:t>
            </w:r>
            <w:r w:rsidR="00234E79" w:rsidRPr="00C360A6">
              <w:t>p</w:t>
            </w:r>
            <w:r w:rsidRPr="00C360A6">
              <w:t xml:space="preserve">ublic </w:t>
            </w:r>
            <w:r w:rsidR="00234E79" w:rsidRPr="00C360A6">
              <w:t>h</w:t>
            </w:r>
            <w:r w:rsidRPr="00C360A6">
              <w:t xml:space="preserve">ealth and </w:t>
            </w:r>
            <w:r w:rsidR="00234E79" w:rsidRPr="00C360A6">
              <w:t>w</w:t>
            </w:r>
            <w:r w:rsidRPr="00C360A6">
              <w:t xml:space="preserve">ellbeing </w:t>
            </w:r>
            <w:r w:rsidR="00234E79" w:rsidRPr="00C360A6">
              <w:t>p</w:t>
            </w:r>
            <w:r w:rsidRPr="00C360A6">
              <w:t>lans and services</w:t>
            </w:r>
          </w:p>
        </w:tc>
      </w:tr>
      <w:tr w:rsidR="009E6793" w:rsidRPr="00C360A6" w14:paraId="433C835C" w14:textId="77777777" w:rsidTr="696A7B0C">
        <w:tc>
          <w:tcPr>
            <w:tcW w:w="4390" w:type="dxa"/>
            <w:hideMark/>
          </w:tcPr>
          <w:p w14:paraId="57C102E4" w14:textId="73033718" w:rsidR="006D4EF7" w:rsidRPr="005F79B2" w:rsidRDefault="006D4EF7" w:rsidP="000E704A">
            <w:pPr>
              <w:pStyle w:val="Tabletext"/>
            </w:pPr>
            <w:r w:rsidRPr="005F79B2">
              <w:t xml:space="preserve">The </w:t>
            </w:r>
            <w:r w:rsidRPr="005F79B2">
              <w:rPr>
                <w:b/>
                <w:bCs/>
              </w:rPr>
              <w:t>Jobs Victoria Fund</w:t>
            </w:r>
            <w:r w:rsidRPr="005F79B2">
              <w:t xml:space="preserve"> provides wage subsidies of up to $20,000 to help businesses employ new staff, with a focus on groups of jobseekers most affected by the economic impacts of the pandemic. The Fund has specifically set aside $50m for women over the age of 45.</w:t>
            </w:r>
          </w:p>
          <w:p w14:paraId="425A103E" w14:textId="2BD268D8" w:rsidR="009E6793" w:rsidRPr="005F79B2" w:rsidRDefault="006D4EF7" w:rsidP="003122D9">
            <w:pPr>
              <w:pStyle w:val="Tabletext"/>
              <w:rPr>
                <w:rFonts w:cstheme="minorBidi"/>
              </w:rPr>
            </w:pPr>
            <w:r w:rsidRPr="005F79B2">
              <w:t>The Fund also supports targeted, large-scale projects that provide people with training and jobs in sectors with workforce shortages, with a focus on older workers – particularly increasing women’s participation in majority-men industries, such as transport and logistics.</w:t>
            </w:r>
          </w:p>
        </w:tc>
        <w:tc>
          <w:tcPr>
            <w:tcW w:w="1275" w:type="dxa"/>
            <w:hideMark/>
          </w:tcPr>
          <w:p w14:paraId="142E03C3" w14:textId="77777777" w:rsidR="009E6793" w:rsidRPr="00C360A6" w:rsidRDefault="009E6793" w:rsidP="003122D9">
            <w:pPr>
              <w:pStyle w:val="Tabletext"/>
            </w:pPr>
            <w:r w:rsidRPr="00C360A6">
              <w:t>Current</w:t>
            </w:r>
          </w:p>
        </w:tc>
        <w:tc>
          <w:tcPr>
            <w:tcW w:w="3351" w:type="dxa"/>
            <w:hideMark/>
          </w:tcPr>
          <w:p w14:paraId="44531AEB" w14:textId="5E039E6D" w:rsidR="009E6793" w:rsidRPr="008B379D" w:rsidRDefault="006D4EF7" w:rsidP="003122D9">
            <w:pPr>
              <w:pStyle w:val="Tabletext"/>
            </w:pPr>
            <w:r w:rsidRPr="008B379D">
              <w:t>Increased support for older long-term job seekers and businesses to employ older workers</w:t>
            </w:r>
          </w:p>
        </w:tc>
      </w:tr>
      <w:tr w:rsidR="009E6793" w:rsidRPr="00C360A6" w14:paraId="108F38D5" w14:textId="77777777" w:rsidTr="008B379D">
        <w:tc>
          <w:tcPr>
            <w:tcW w:w="4390" w:type="dxa"/>
            <w:shd w:val="clear" w:color="auto" w:fill="auto"/>
            <w:hideMark/>
          </w:tcPr>
          <w:p w14:paraId="14D1C624" w14:textId="07CF3910" w:rsidR="00FF55E7" w:rsidRPr="00697EFF" w:rsidRDefault="00FF55E7" w:rsidP="000E704A">
            <w:pPr>
              <w:pStyle w:val="Tabletext"/>
              <w:rPr>
                <w:rFonts w:ascii="Calibri" w:hAnsi="Calibri"/>
                <w:strike/>
                <w:sz w:val="22"/>
                <w:szCs w:val="22"/>
              </w:rPr>
            </w:pPr>
            <w:r w:rsidRPr="00697EFF">
              <w:t xml:space="preserve">Local </w:t>
            </w:r>
            <w:r w:rsidRPr="00697EFF">
              <w:rPr>
                <w:b/>
              </w:rPr>
              <w:t>Jobs Victoria Advocates</w:t>
            </w:r>
            <w:r w:rsidRPr="00697EFF">
              <w:t xml:space="preserve"> support Victorians looking for work</w:t>
            </w:r>
            <w:r w:rsidR="005E64A7" w:rsidRPr="00697EFF">
              <w:t xml:space="preserve"> </w:t>
            </w:r>
            <w:r w:rsidRPr="00697EFF">
              <w:t>and help people navigate employment and training services through proactive outreach in local communities – in libraries, community centres, sports clubs, public housing foyers and shopping centres – to connect people with the information, support and training that</w:t>
            </w:r>
            <w:r w:rsidR="006D3A35" w:rsidRPr="00697EFF">
              <w:t xml:space="preserve"> i</w:t>
            </w:r>
            <w:r w:rsidRPr="00697EFF">
              <w:t>s right for them.</w:t>
            </w:r>
          </w:p>
          <w:p w14:paraId="1D0D440E" w14:textId="6C9B47F5" w:rsidR="009E6793" w:rsidRPr="00697EFF" w:rsidRDefault="00FF55E7" w:rsidP="003122D9">
            <w:pPr>
              <w:pStyle w:val="Tabletext"/>
            </w:pPr>
            <w:r w:rsidRPr="00697EFF">
              <w:t>Jobs Victoria Advocates focus on communities where rates of unemployment are high to help increase social and economic participation and engage with community members to understand their needs and connect them to relevant services.</w:t>
            </w:r>
          </w:p>
        </w:tc>
        <w:tc>
          <w:tcPr>
            <w:tcW w:w="1275" w:type="dxa"/>
            <w:shd w:val="clear" w:color="auto" w:fill="auto"/>
            <w:hideMark/>
          </w:tcPr>
          <w:p w14:paraId="7C87D685" w14:textId="3CAF43C0" w:rsidR="009E6793" w:rsidRPr="00697EFF" w:rsidRDefault="009E6793" w:rsidP="003122D9">
            <w:pPr>
              <w:pStyle w:val="Tabletext"/>
            </w:pPr>
            <w:r w:rsidRPr="00697EFF">
              <w:t>Current</w:t>
            </w:r>
          </w:p>
        </w:tc>
        <w:tc>
          <w:tcPr>
            <w:tcW w:w="3351" w:type="dxa"/>
            <w:shd w:val="clear" w:color="auto" w:fill="auto"/>
            <w:hideMark/>
          </w:tcPr>
          <w:p w14:paraId="023D9BD0" w14:textId="2CB5273E" w:rsidR="009E6793" w:rsidRPr="00C360A6" w:rsidRDefault="00A22A22" w:rsidP="003122D9">
            <w:pPr>
              <w:pStyle w:val="Tabletext"/>
              <w:rPr>
                <w:rFonts w:eastAsia="Calibri"/>
              </w:rPr>
            </w:pPr>
            <w:r w:rsidRPr="008B379D">
              <w:t>Increased support for older long-term job seekers</w:t>
            </w:r>
          </w:p>
        </w:tc>
      </w:tr>
      <w:tr w:rsidR="009E6793" w:rsidRPr="00C360A6" w14:paraId="30F703D2" w14:textId="77777777" w:rsidTr="696A7B0C">
        <w:tc>
          <w:tcPr>
            <w:tcW w:w="4390" w:type="dxa"/>
            <w:hideMark/>
          </w:tcPr>
          <w:p w14:paraId="1E4EBBFC" w14:textId="33CCBFE7" w:rsidR="009E6793" w:rsidRPr="005F79B2" w:rsidRDefault="00A22A22" w:rsidP="003122D9">
            <w:pPr>
              <w:pStyle w:val="Tabletext"/>
            </w:pPr>
            <w:r w:rsidRPr="005F79B2">
              <w:rPr>
                <w:b/>
              </w:rPr>
              <w:t xml:space="preserve">Jobs Victoria Mentors </w:t>
            </w:r>
            <w:r w:rsidRPr="005F79B2">
              <w:t xml:space="preserve">work with job seekers of all ages to help them become work-ready, find a job that suits them, and to support them in their role for the first six months. Mentors offer personalised support by connecting job seekers to services such as re-training, literacy, numeracy </w:t>
            </w:r>
            <w:r w:rsidRPr="005F79B2">
              <w:lastRenderedPageBreak/>
              <w:t xml:space="preserve">and digital literacy courses and referrals to Skills &amp; Job Centres that can help with resumes. </w:t>
            </w:r>
          </w:p>
        </w:tc>
        <w:tc>
          <w:tcPr>
            <w:tcW w:w="1275" w:type="dxa"/>
            <w:hideMark/>
          </w:tcPr>
          <w:p w14:paraId="6FE90C6E" w14:textId="2AC6E881" w:rsidR="009E6793" w:rsidRPr="005F79B2" w:rsidRDefault="009E6793" w:rsidP="003122D9">
            <w:pPr>
              <w:pStyle w:val="Tabletext"/>
            </w:pPr>
            <w:r w:rsidRPr="00C360A6">
              <w:lastRenderedPageBreak/>
              <w:t>Current</w:t>
            </w:r>
          </w:p>
        </w:tc>
        <w:tc>
          <w:tcPr>
            <w:tcW w:w="3351" w:type="dxa"/>
            <w:hideMark/>
          </w:tcPr>
          <w:p w14:paraId="5A8EBD0A" w14:textId="5810B4DA" w:rsidR="009E6793" w:rsidRPr="00C360A6" w:rsidRDefault="00A22A22" w:rsidP="003122D9">
            <w:pPr>
              <w:pStyle w:val="Tabletext"/>
              <w:rPr>
                <w:rFonts w:eastAsia="Calibri"/>
              </w:rPr>
            </w:pPr>
            <w:r w:rsidRPr="008B379D">
              <w:t>Increased confidence for older job seekers and workers to explore career options</w:t>
            </w:r>
          </w:p>
        </w:tc>
      </w:tr>
      <w:tr w:rsidR="009E6793" w:rsidRPr="00C360A6" w14:paraId="024718D9" w14:textId="77777777" w:rsidTr="696A7B0C">
        <w:tc>
          <w:tcPr>
            <w:tcW w:w="4390" w:type="dxa"/>
            <w:hideMark/>
          </w:tcPr>
          <w:p w14:paraId="1AD344EA" w14:textId="6018EC1D" w:rsidR="009E6793" w:rsidRPr="005F79B2" w:rsidRDefault="0001639F" w:rsidP="003122D9">
            <w:pPr>
              <w:pStyle w:val="Tabletext"/>
            </w:pPr>
            <w:r>
              <w:t>A</w:t>
            </w:r>
            <w:r w:rsidRPr="696A7B0C">
              <w:rPr>
                <w:b/>
                <w:bCs/>
              </w:rPr>
              <w:t xml:space="preserve"> Jobs Victoria Careers Counsellor </w:t>
            </w:r>
            <w:r>
              <w:t xml:space="preserve">to </w:t>
            </w:r>
            <w:proofErr w:type="gramStart"/>
            <w:r>
              <w:t>provide assistance to</w:t>
            </w:r>
            <w:proofErr w:type="gramEnd"/>
            <w:r>
              <w:t xml:space="preserve"> plan work goals, such as a job search, or to identify skills and strengths, or to explore a career change.</w:t>
            </w:r>
          </w:p>
        </w:tc>
        <w:tc>
          <w:tcPr>
            <w:tcW w:w="1275" w:type="dxa"/>
            <w:hideMark/>
          </w:tcPr>
          <w:p w14:paraId="56EB2720" w14:textId="03201E6F" w:rsidR="009E6793" w:rsidRPr="005F79B2" w:rsidRDefault="009E6793" w:rsidP="003122D9">
            <w:pPr>
              <w:pStyle w:val="Tabletext"/>
            </w:pPr>
            <w:r w:rsidRPr="005F79B2">
              <w:t>Current</w:t>
            </w:r>
          </w:p>
        </w:tc>
        <w:tc>
          <w:tcPr>
            <w:tcW w:w="3351" w:type="dxa"/>
            <w:hideMark/>
          </w:tcPr>
          <w:p w14:paraId="1648CF58" w14:textId="7BE50DE2" w:rsidR="009E6793" w:rsidRPr="00C360A6" w:rsidRDefault="0001639F" w:rsidP="003122D9">
            <w:pPr>
              <w:pStyle w:val="Tabletext"/>
              <w:rPr>
                <w:rFonts w:eastAsia="Calibri"/>
              </w:rPr>
            </w:pPr>
            <w:r w:rsidRPr="008B379D">
              <w:t>Increased confidence for older job seekers and workers to explore career options</w:t>
            </w:r>
          </w:p>
        </w:tc>
      </w:tr>
    </w:tbl>
    <w:p w14:paraId="5D1292E2" w14:textId="674EB75E" w:rsidR="009E6793" w:rsidRPr="00C360A6" w:rsidRDefault="000C5B56" w:rsidP="000C5B56">
      <w:pPr>
        <w:pStyle w:val="Heading3"/>
        <w:spacing w:before="200" w:after="160"/>
        <w:ind w:left="66"/>
      </w:pPr>
      <w:r>
        <w:t xml:space="preserve">4. </w:t>
      </w:r>
      <w:r w:rsidR="009E6793" w:rsidRPr="000C5B56">
        <w:rPr>
          <w:b/>
          <w:bCs w:val="0"/>
        </w:rPr>
        <w:t xml:space="preserve">Health </w:t>
      </w:r>
      <w:r w:rsidR="009F2102" w:rsidRPr="000C5B56">
        <w:rPr>
          <w:b/>
          <w:bCs w:val="0"/>
        </w:rPr>
        <w:t>s</w:t>
      </w:r>
      <w:r w:rsidR="009E6793" w:rsidRPr="000C5B56">
        <w:rPr>
          <w:b/>
          <w:bCs w:val="0"/>
        </w:rPr>
        <w:t>elf-care</w:t>
      </w:r>
      <w:r w:rsidR="009E6793" w:rsidRPr="000C5B56">
        <w:t xml:space="preserve"> –</w:t>
      </w:r>
      <w:r w:rsidR="009E6793" w:rsidRPr="00C360A6">
        <w:t xml:space="preserve"> </w:t>
      </w:r>
      <w:r w:rsidR="00DE11D5">
        <w:t>L</w:t>
      </w:r>
      <w:r w:rsidR="009E6793" w:rsidRPr="00C360A6">
        <w:t xml:space="preserve">everaging healthcare advances driven by the pandemic to improve the health of </w:t>
      </w:r>
      <w:r w:rsidR="009E6793" w:rsidRPr="00C360A6" w:rsidDel="000249BF">
        <w:t>older people</w:t>
      </w:r>
      <w:r w:rsidR="009E6793" w:rsidRPr="00C360A6">
        <w:t xml:space="preserve"> and their ability to protect themselves</w:t>
      </w:r>
    </w:p>
    <w:p w14:paraId="2C99D952" w14:textId="77777777" w:rsidR="009E6793" w:rsidRPr="00C360A6" w:rsidRDefault="009E6793" w:rsidP="00B743FD">
      <w:pPr>
        <w:pStyle w:val="Heading4"/>
      </w:pPr>
      <w:r w:rsidRPr="00C360A6">
        <w:t xml:space="preserve">Increased control over health and health limitations </w:t>
      </w:r>
    </w:p>
    <w:p w14:paraId="1ADC3390" w14:textId="5B2E0063" w:rsidR="00403AB4" w:rsidRPr="00C360A6" w:rsidRDefault="009E6793" w:rsidP="0053739A">
      <w:pPr>
        <w:pStyle w:val="Body"/>
      </w:pPr>
      <w:r w:rsidRPr="00C360A6">
        <w:t>A strong factor in quality of life as we get older is understanding how to manage the onset of health conditions</w:t>
      </w:r>
      <w:r w:rsidR="00403AB4" w:rsidRPr="00C360A6">
        <w:t>. This helps in</w:t>
      </w:r>
      <w:r w:rsidRPr="00C360A6">
        <w:t xml:space="preserve"> maintain</w:t>
      </w:r>
      <w:r w:rsidR="00403AB4" w:rsidRPr="00C360A6">
        <w:t>ing</w:t>
      </w:r>
      <w:r w:rsidRPr="00C360A6">
        <w:t xml:space="preserve"> independence. More broadly, </w:t>
      </w:r>
      <w:r w:rsidR="00C24E1E" w:rsidRPr="00C360A6">
        <w:t xml:space="preserve">the pandemic has highlighted </w:t>
      </w:r>
      <w:r w:rsidRPr="00C360A6">
        <w:t xml:space="preserve">the importance of self-management </w:t>
      </w:r>
      <w:r w:rsidR="00C24E1E" w:rsidRPr="00C360A6">
        <w:t>in</w:t>
      </w:r>
      <w:r w:rsidRPr="00C360A6">
        <w:t xml:space="preserve"> health </w:t>
      </w:r>
      <w:r w:rsidR="00C24E1E" w:rsidRPr="00C360A6">
        <w:t>care</w:t>
      </w:r>
      <w:r w:rsidR="00403AB4" w:rsidRPr="00C360A6">
        <w:t>.</w:t>
      </w:r>
      <w:r w:rsidRPr="00C360A6">
        <w:t xml:space="preserve"> </w:t>
      </w:r>
      <w:r w:rsidR="00403AB4" w:rsidRPr="00C360A6">
        <w:t>P</w:t>
      </w:r>
      <w:r w:rsidRPr="00C360A6">
        <w:t xml:space="preserve">eople </w:t>
      </w:r>
      <w:r w:rsidR="00403AB4" w:rsidRPr="00C360A6">
        <w:t xml:space="preserve">have </w:t>
      </w:r>
      <w:r w:rsidRPr="00C360A6">
        <w:t>tackled the virus through individual actions such as</w:t>
      </w:r>
      <w:r w:rsidR="00403AB4" w:rsidRPr="00C360A6">
        <w:t>:</w:t>
      </w:r>
    </w:p>
    <w:p w14:paraId="7B5F96D0" w14:textId="7015D8B5" w:rsidR="00403AB4" w:rsidRPr="00C360A6" w:rsidRDefault="00403AB4" w:rsidP="006F4C32">
      <w:pPr>
        <w:pStyle w:val="Bullet1"/>
      </w:pPr>
      <w:r w:rsidRPr="00C360A6">
        <w:t xml:space="preserve">physical </w:t>
      </w:r>
      <w:r w:rsidR="009E6793" w:rsidRPr="00C360A6">
        <w:t>distancing</w:t>
      </w:r>
    </w:p>
    <w:p w14:paraId="6E0801A3" w14:textId="112780BB" w:rsidR="00403AB4" w:rsidRPr="00C360A6" w:rsidRDefault="009E6793" w:rsidP="006F4C32">
      <w:pPr>
        <w:pStyle w:val="Bullet1"/>
      </w:pPr>
      <w:r w:rsidRPr="00C360A6">
        <w:t>hand sanitising and washing</w:t>
      </w:r>
    </w:p>
    <w:p w14:paraId="0BEDD827" w14:textId="33824BD8" w:rsidR="00403AB4" w:rsidRPr="00C360A6" w:rsidRDefault="009E6793" w:rsidP="006F4C32">
      <w:pPr>
        <w:pStyle w:val="Bullet1"/>
      </w:pPr>
      <w:r w:rsidRPr="00C360A6">
        <w:t xml:space="preserve">wearing face masks </w:t>
      </w:r>
    </w:p>
    <w:p w14:paraId="67A41862" w14:textId="0ED1C6F5" w:rsidR="00403AB4" w:rsidRPr="00C360A6" w:rsidRDefault="009E6793" w:rsidP="006F4C32">
      <w:pPr>
        <w:pStyle w:val="Bullet1"/>
      </w:pPr>
      <w:r w:rsidRPr="00C360A6">
        <w:t>getting vaccinated.</w:t>
      </w:r>
    </w:p>
    <w:p w14:paraId="2532E3E0" w14:textId="582CDEFE" w:rsidR="009E6793" w:rsidRPr="00C360A6" w:rsidRDefault="009E6793" w:rsidP="006F4C32">
      <w:pPr>
        <w:pStyle w:val="Bodyafterbullets"/>
        <w:rPr>
          <w:rFonts w:eastAsia="Akkurat-Light"/>
        </w:rPr>
      </w:pPr>
      <w:r w:rsidRPr="00C360A6">
        <w:t>One clear lesson from the pandemic has been the importance of actions by individuals</w:t>
      </w:r>
      <w:r w:rsidR="00403AB4" w:rsidRPr="00C360A6">
        <w:t xml:space="preserve">, </w:t>
      </w:r>
      <w:proofErr w:type="gramStart"/>
      <w:r w:rsidRPr="00C360A6">
        <w:t>governments</w:t>
      </w:r>
      <w:proofErr w:type="gramEnd"/>
      <w:r w:rsidRPr="00C360A6">
        <w:t xml:space="preserve"> and health services to manage health risks. </w:t>
      </w:r>
      <w:r w:rsidRPr="00C360A6">
        <w:rPr>
          <w:rFonts w:eastAsia="Akkurat-Light"/>
        </w:rPr>
        <w:t>Good health literacy can prevent hospital and emergency admissions</w:t>
      </w:r>
      <w:r w:rsidR="00403AB4" w:rsidRPr="00C360A6">
        <w:rPr>
          <w:rFonts w:eastAsia="Akkurat-Light"/>
        </w:rPr>
        <w:t>. It also</w:t>
      </w:r>
      <w:r w:rsidRPr="00C360A6">
        <w:rPr>
          <w:rFonts w:eastAsia="Akkurat-Light"/>
        </w:rPr>
        <w:t xml:space="preserve"> keeps healthcare costs down.</w:t>
      </w:r>
    </w:p>
    <w:p w14:paraId="2C5CCDFC" w14:textId="20CA4D8B" w:rsidR="009E6793" w:rsidRPr="00C360A6" w:rsidRDefault="009E6793" w:rsidP="0053739A">
      <w:pPr>
        <w:pStyle w:val="Body"/>
      </w:pPr>
      <w:r w:rsidRPr="00654897">
        <w:t xml:space="preserve">Positive mental health and wellbeing </w:t>
      </w:r>
      <w:r w:rsidR="00403AB4" w:rsidRPr="00654897">
        <w:t xml:space="preserve">links </w:t>
      </w:r>
      <w:r w:rsidRPr="00654897">
        <w:t>with physical health and ageing well.</w:t>
      </w:r>
      <w:r w:rsidRPr="00C360A6">
        <w:t xml:space="preserve"> Through Victoria’s reform of the mental health system, the </w:t>
      </w:r>
      <w:r w:rsidR="003D7F3E" w:rsidRPr="00C360A6">
        <w:t>g</w:t>
      </w:r>
      <w:r w:rsidRPr="00C360A6">
        <w:t>overnment commit</w:t>
      </w:r>
      <w:r w:rsidR="00C24E1E" w:rsidRPr="00C360A6">
        <w:t>s</w:t>
      </w:r>
      <w:r w:rsidRPr="00C360A6">
        <w:t xml:space="preserve"> to ensuring senior Victorians have the same access to mental health treatment, </w:t>
      </w:r>
      <w:proofErr w:type="gramStart"/>
      <w:r w:rsidRPr="00C360A6">
        <w:t>care</w:t>
      </w:r>
      <w:proofErr w:type="gramEnd"/>
      <w:r w:rsidRPr="00C360A6">
        <w:t xml:space="preserve"> and support as the wider adult population.</w:t>
      </w:r>
    </w:p>
    <w:p w14:paraId="7F570C91" w14:textId="73CDFCFE" w:rsidR="009E6793" w:rsidRPr="00C360A6" w:rsidRDefault="009E6793" w:rsidP="0053739A">
      <w:pPr>
        <w:pStyle w:val="Body"/>
        <w:rPr>
          <w:rFonts w:ascii="Calibri" w:eastAsia="Akkurat-Light" w:hAnsi="Calibri" w:cs="Calibri"/>
        </w:rPr>
      </w:pPr>
      <w:r w:rsidRPr="00C360A6">
        <w:t>In recent years</w:t>
      </w:r>
      <w:r w:rsidR="00CB73FD">
        <w:t>,</w:t>
      </w:r>
      <w:r w:rsidRPr="00C360A6">
        <w:t xml:space="preserve"> people aged 50 years </w:t>
      </w:r>
      <w:r w:rsidR="003D7F3E" w:rsidRPr="00C360A6">
        <w:t xml:space="preserve">or older </w:t>
      </w:r>
      <w:r w:rsidRPr="00C360A6">
        <w:t>have been more likely to drink alcohol</w:t>
      </w:r>
      <w:r w:rsidR="003D7F3E" w:rsidRPr="00C360A6">
        <w:t xml:space="preserve">. They are doing </w:t>
      </w:r>
      <w:r w:rsidR="00D0251E">
        <w:t>s</w:t>
      </w:r>
      <w:r w:rsidR="003D7F3E" w:rsidRPr="00C360A6">
        <w:t xml:space="preserve">o </w:t>
      </w:r>
      <w:r w:rsidRPr="00C360A6">
        <w:t xml:space="preserve">at riskier levels than in previous generations. People in this age group </w:t>
      </w:r>
      <w:r w:rsidRPr="00C360A6" w:rsidDel="0021430C">
        <w:t xml:space="preserve">more </w:t>
      </w:r>
      <w:r w:rsidR="00C24E1E" w:rsidRPr="00C360A6" w:rsidDel="0021430C">
        <w:t>often</w:t>
      </w:r>
      <w:r w:rsidR="00C24E1E" w:rsidRPr="00C360A6">
        <w:t xml:space="preserve"> </w:t>
      </w:r>
      <w:r w:rsidRPr="00C360A6">
        <w:t xml:space="preserve">use illicit and non-prescribed pharmaceutical drugs. The specific risks </w:t>
      </w:r>
      <w:r w:rsidR="003D7F3E" w:rsidRPr="00C360A6">
        <w:t xml:space="preserve">linked </w:t>
      </w:r>
      <w:r w:rsidRPr="00C360A6">
        <w:t xml:space="preserve">with drinking include cardiovascular disease, </w:t>
      </w:r>
      <w:proofErr w:type="gramStart"/>
      <w:r w:rsidRPr="00C360A6">
        <w:t>dementia</w:t>
      </w:r>
      <w:proofErr w:type="gramEnd"/>
      <w:r w:rsidRPr="00C360A6">
        <w:t xml:space="preserve"> and various cancers</w:t>
      </w:r>
      <w:r w:rsidR="003D7F3E" w:rsidRPr="00C360A6">
        <w:t>.</w:t>
      </w:r>
      <w:r w:rsidRPr="00C360A6">
        <w:t xml:space="preserve"> </w:t>
      </w:r>
      <w:r w:rsidR="003D7F3E" w:rsidRPr="00C360A6">
        <w:t>For</w:t>
      </w:r>
      <w:r w:rsidRPr="00C360A6">
        <w:t xml:space="preserve"> drug use</w:t>
      </w:r>
      <w:r w:rsidR="003D7F3E" w:rsidRPr="00C360A6">
        <w:t>,</w:t>
      </w:r>
      <w:r w:rsidRPr="00C360A6">
        <w:t xml:space="preserve"> the risks include overdose and chronic health conditions.</w:t>
      </w:r>
    </w:p>
    <w:p w14:paraId="498A1694" w14:textId="50208B2C" w:rsidR="009E6793" w:rsidRPr="00C360A6" w:rsidRDefault="009E6793" w:rsidP="0053739A">
      <w:pPr>
        <w:pStyle w:val="Body"/>
      </w:pPr>
      <w:r w:rsidRPr="00C360A6">
        <w:t xml:space="preserve">We recognise that </w:t>
      </w:r>
      <w:r w:rsidR="00C24E1E" w:rsidRPr="00C360A6">
        <w:t xml:space="preserve">complex interactions of various political, social, </w:t>
      </w:r>
      <w:proofErr w:type="gramStart"/>
      <w:r w:rsidR="00C24E1E" w:rsidRPr="00C360A6">
        <w:t>economic</w:t>
      </w:r>
      <w:proofErr w:type="gramEnd"/>
      <w:r w:rsidR="00C24E1E" w:rsidRPr="00C360A6">
        <w:t xml:space="preserve"> and environmental conditions</w:t>
      </w:r>
      <w:r w:rsidR="00C24E1E" w:rsidRPr="00C360A6" w:rsidDel="003D7F3E">
        <w:t xml:space="preserve"> </w:t>
      </w:r>
      <w:r w:rsidR="00C24E1E" w:rsidRPr="00C360A6">
        <w:t xml:space="preserve">determine </w:t>
      </w:r>
      <w:r w:rsidR="003D7F3E" w:rsidRPr="00C360A6">
        <w:t xml:space="preserve">a person’s </w:t>
      </w:r>
      <w:r w:rsidRPr="00C360A6">
        <w:t>health, experience of disease and mortality</w:t>
      </w:r>
      <w:r w:rsidR="003D7F3E" w:rsidRPr="00C360A6">
        <w:t>. But</w:t>
      </w:r>
      <w:r w:rsidRPr="00C360A6">
        <w:t xml:space="preserve"> the pandemic has shown us the importance and benefits of supporting healthy behaviours. </w:t>
      </w:r>
      <w:r w:rsidR="003D7F3E" w:rsidRPr="00C360A6">
        <w:t>Despite this</w:t>
      </w:r>
      <w:r w:rsidRPr="00C360A6">
        <w:t xml:space="preserve">, many older people have postponed treatments or medical care for ongoing conditions </w:t>
      </w:r>
      <w:r w:rsidR="003D7F3E" w:rsidRPr="00C360A6">
        <w:t>because of</w:t>
      </w:r>
      <w:r w:rsidRPr="00C360A6">
        <w:t xml:space="preserve"> fear of catching the virus on public transport or in a hospital. Even with </w:t>
      </w:r>
      <w:r w:rsidR="00BD260F" w:rsidRPr="00C360A6">
        <w:t>our</w:t>
      </w:r>
      <w:r w:rsidRPr="00C360A6">
        <w:t xml:space="preserve"> high vaccinat</w:t>
      </w:r>
      <w:r w:rsidR="00BD260F" w:rsidRPr="00C360A6">
        <w:t>ion rate</w:t>
      </w:r>
      <w:r w:rsidRPr="00C360A6">
        <w:t>, older people are wary of contracting COVID-19</w:t>
      </w:r>
      <w:r w:rsidR="003D7F3E" w:rsidRPr="00C360A6">
        <w:t>. This makes sense given</w:t>
      </w:r>
      <w:r w:rsidRPr="00C360A6">
        <w:t xml:space="preserve"> the higher risk of serious illness and </w:t>
      </w:r>
      <w:r w:rsidRPr="00C360A6">
        <w:lastRenderedPageBreak/>
        <w:t>death</w:t>
      </w:r>
      <w:r w:rsidR="003D7F3E" w:rsidRPr="00C360A6">
        <w:t>. Older people have</w:t>
      </w:r>
      <w:r w:rsidRPr="00C360A6">
        <w:t xml:space="preserve"> continue</w:t>
      </w:r>
      <w:r w:rsidR="003D7F3E" w:rsidRPr="00C360A6">
        <w:t>d</w:t>
      </w:r>
      <w:r w:rsidRPr="00C360A6">
        <w:t xml:space="preserve"> to </w:t>
      </w:r>
      <w:r w:rsidR="005323E8" w:rsidRPr="00C360A6">
        <w:t xml:space="preserve">avoid </w:t>
      </w:r>
      <w:r w:rsidRPr="00C360A6">
        <w:t>activities</w:t>
      </w:r>
      <w:r w:rsidR="003D7F3E" w:rsidRPr="00C360A6">
        <w:t xml:space="preserve"> such as </w:t>
      </w:r>
      <w:r w:rsidRPr="00C360A6">
        <w:t xml:space="preserve">exercise, medical </w:t>
      </w:r>
      <w:proofErr w:type="gramStart"/>
      <w:r w:rsidRPr="00C360A6">
        <w:t>visits</w:t>
      </w:r>
      <w:proofErr w:type="gramEnd"/>
      <w:r w:rsidRPr="00C360A6">
        <w:t xml:space="preserve"> and social engagements.</w:t>
      </w:r>
    </w:p>
    <w:tbl>
      <w:tblPr>
        <w:tblStyle w:val="TableGrid"/>
        <w:tblW w:w="0" w:type="auto"/>
        <w:tblLook w:val="0620" w:firstRow="1" w:lastRow="0" w:firstColumn="0" w:lastColumn="0" w:noHBand="1" w:noVBand="1"/>
      </w:tblPr>
      <w:tblGrid>
        <w:gridCol w:w="4390"/>
        <w:gridCol w:w="1275"/>
        <w:gridCol w:w="3351"/>
      </w:tblGrid>
      <w:tr w:rsidR="009E6793" w:rsidRPr="00C360A6" w14:paraId="6DF62B0C" w14:textId="77777777" w:rsidTr="00FA6983">
        <w:trPr>
          <w:tblHeader/>
        </w:trPr>
        <w:tc>
          <w:tcPr>
            <w:tcW w:w="4390" w:type="dxa"/>
          </w:tcPr>
          <w:p w14:paraId="43ECD8D8" w14:textId="0B87FCAA" w:rsidR="009E6793" w:rsidRPr="00C360A6" w:rsidRDefault="009E6793" w:rsidP="003122D9">
            <w:pPr>
              <w:pStyle w:val="Tablecolhead"/>
            </w:pPr>
            <w:bookmarkStart w:id="31" w:name="_Hlk92281274"/>
            <w:r w:rsidRPr="00C360A6">
              <w:t>What the government will deliver</w:t>
            </w:r>
          </w:p>
        </w:tc>
        <w:tc>
          <w:tcPr>
            <w:tcW w:w="1275" w:type="dxa"/>
          </w:tcPr>
          <w:p w14:paraId="70479F12" w14:textId="77777777" w:rsidR="009E6793" w:rsidRPr="00C360A6" w:rsidRDefault="009E6793" w:rsidP="003122D9">
            <w:pPr>
              <w:pStyle w:val="Tablecolhead"/>
            </w:pPr>
            <w:r w:rsidRPr="00C360A6">
              <w:t>When</w:t>
            </w:r>
          </w:p>
        </w:tc>
        <w:tc>
          <w:tcPr>
            <w:tcW w:w="3351" w:type="dxa"/>
          </w:tcPr>
          <w:p w14:paraId="06AE761F" w14:textId="77777777" w:rsidR="009E6793" w:rsidRPr="00C360A6" w:rsidRDefault="009E6793" w:rsidP="003122D9">
            <w:pPr>
              <w:pStyle w:val="Tablecolhead"/>
            </w:pPr>
            <w:r w:rsidRPr="00C360A6">
              <w:t>Impact</w:t>
            </w:r>
          </w:p>
        </w:tc>
      </w:tr>
      <w:bookmarkEnd w:id="31"/>
      <w:tr w:rsidR="009E6793" w:rsidRPr="00C360A6" w14:paraId="143D48FB" w14:textId="77777777" w:rsidTr="00FA6983">
        <w:tc>
          <w:tcPr>
            <w:tcW w:w="4390" w:type="dxa"/>
          </w:tcPr>
          <w:p w14:paraId="47A9897A" w14:textId="6D3FD2C3" w:rsidR="009E6793" w:rsidRPr="00C360A6" w:rsidRDefault="003A0B59" w:rsidP="003122D9">
            <w:pPr>
              <w:pStyle w:val="Tabletext"/>
            </w:pPr>
            <w:r w:rsidRPr="00C360A6">
              <w:rPr>
                <w:b/>
                <w:bCs/>
              </w:rPr>
              <w:t>I</w:t>
            </w:r>
            <w:r w:rsidR="009E6793" w:rsidRPr="00C360A6">
              <w:rPr>
                <w:b/>
                <w:bCs/>
              </w:rPr>
              <w:t>nnovative models to improve the health of older people</w:t>
            </w:r>
            <w:r w:rsidR="00DD4E38" w:rsidRPr="00C360A6">
              <w:t xml:space="preserve">. </w:t>
            </w:r>
            <w:r w:rsidRPr="00C360A6">
              <w:t>VicHealth will explore t</w:t>
            </w:r>
            <w:r w:rsidR="00DD4E38" w:rsidRPr="00C360A6">
              <w:t xml:space="preserve">his </w:t>
            </w:r>
            <w:r w:rsidR="009E6793" w:rsidRPr="00C360A6">
              <w:t>through intergenerational methodologies within its existing strategic agenda.</w:t>
            </w:r>
          </w:p>
        </w:tc>
        <w:tc>
          <w:tcPr>
            <w:tcW w:w="1275" w:type="dxa"/>
          </w:tcPr>
          <w:p w14:paraId="4E0BD567" w14:textId="77777777" w:rsidR="009E6793" w:rsidRPr="00C360A6" w:rsidRDefault="009E6793" w:rsidP="003122D9">
            <w:pPr>
              <w:pStyle w:val="Tabletext"/>
            </w:pPr>
            <w:r w:rsidRPr="00C360A6">
              <w:t>From 2022</w:t>
            </w:r>
          </w:p>
        </w:tc>
        <w:tc>
          <w:tcPr>
            <w:tcW w:w="3351" w:type="dxa"/>
          </w:tcPr>
          <w:p w14:paraId="3706A038" w14:textId="448580B9" w:rsidR="009E6793" w:rsidRPr="00C360A6" w:rsidRDefault="009E6793" w:rsidP="003122D9">
            <w:pPr>
              <w:pStyle w:val="Tabletext"/>
            </w:pPr>
            <w:r w:rsidRPr="00C360A6">
              <w:t>Improved health and wellbeing of older Victorians</w:t>
            </w:r>
          </w:p>
        </w:tc>
      </w:tr>
      <w:tr w:rsidR="009E6793" w:rsidRPr="00C360A6" w14:paraId="153CB3FF" w14:textId="77777777" w:rsidTr="00FA6983">
        <w:tc>
          <w:tcPr>
            <w:tcW w:w="4390" w:type="dxa"/>
          </w:tcPr>
          <w:p w14:paraId="50C623B8" w14:textId="6C086EAA" w:rsidR="009E6793" w:rsidRPr="00C360A6" w:rsidRDefault="00523C6A" w:rsidP="003122D9">
            <w:pPr>
              <w:pStyle w:val="Tabletext"/>
            </w:pPr>
            <w:r w:rsidRPr="00C360A6">
              <w:t>I</w:t>
            </w:r>
            <w:r w:rsidR="009E6793" w:rsidRPr="00C360A6">
              <w:t>ncorpora</w:t>
            </w:r>
            <w:r w:rsidRPr="00C360A6">
              <w:t>tion</w:t>
            </w:r>
            <w:r w:rsidR="009E6793" w:rsidRPr="00C360A6">
              <w:t xml:space="preserve"> </w:t>
            </w:r>
            <w:r w:rsidRPr="00C360A6">
              <w:t xml:space="preserve">of </w:t>
            </w:r>
            <w:r w:rsidR="009E6793" w:rsidRPr="00C360A6">
              <w:t xml:space="preserve">the evidence-based elements of </w:t>
            </w:r>
            <w:r w:rsidR="009E6793" w:rsidRPr="00C360A6">
              <w:rPr>
                <w:b/>
                <w:bCs/>
              </w:rPr>
              <w:t>ageing well in guidance to councils</w:t>
            </w:r>
            <w:r w:rsidR="009E6793" w:rsidRPr="00C360A6">
              <w:t xml:space="preserve"> for their municipal health and wellbeing plans</w:t>
            </w:r>
            <w:r w:rsidRPr="00C360A6">
              <w:t xml:space="preserve"> (Department of Health)</w:t>
            </w:r>
            <w:r w:rsidR="009E6793" w:rsidRPr="00C360A6">
              <w:t>.</w:t>
            </w:r>
          </w:p>
        </w:tc>
        <w:tc>
          <w:tcPr>
            <w:tcW w:w="1275" w:type="dxa"/>
          </w:tcPr>
          <w:p w14:paraId="5C552122" w14:textId="77777777" w:rsidR="009E6793" w:rsidRPr="00C360A6" w:rsidRDefault="009E6793" w:rsidP="003122D9">
            <w:pPr>
              <w:pStyle w:val="Tabletext"/>
            </w:pPr>
            <w:r w:rsidRPr="00C360A6">
              <w:t>From 2024</w:t>
            </w:r>
          </w:p>
        </w:tc>
        <w:tc>
          <w:tcPr>
            <w:tcW w:w="3351" w:type="dxa"/>
          </w:tcPr>
          <w:p w14:paraId="48E506A5" w14:textId="1A8A63F9" w:rsidR="009E6793" w:rsidRPr="00C360A6" w:rsidRDefault="009E6793" w:rsidP="003122D9">
            <w:pPr>
              <w:pStyle w:val="Tabletext"/>
            </w:pPr>
            <w:r w:rsidRPr="00C360A6">
              <w:t>More local ageing well strategies to benefit older people</w:t>
            </w:r>
          </w:p>
        </w:tc>
      </w:tr>
      <w:tr w:rsidR="009E6793" w:rsidRPr="00C360A6" w14:paraId="195A2474" w14:textId="77777777" w:rsidTr="00FA6983">
        <w:tc>
          <w:tcPr>
            <w:tcW w:w="4390" w:type="dxa"/>
            <w:shd w:val="clear" w:color="auto" w:fill="auto"/>
          </w:tcPr>
          <w:p w14:paraId="17353F07" w14:textId="6FCCFD4E" w:rsidR="009E6793" w:rsidRPr="00C360A6" w:rsidRDefault="009E6793" w:rsidP="003122D9">
            <w:pPr>
              <w:pStyle w:val="Tabletext"/>
            </w:pPr>
            <w:r w:rsidRPr="00C360A6">
              <w:t>Victoria’s end</w:t>
            </w:r>
            <w:r w:rsidR="00E25018" w:rsidRPr="00C360A6">
              <w:t>-</w:t>
            </w:r>
            <w:r w:rsidRPr="00C360A6">
              <w:t>of</w:t>
            </w:r>
            <w:r w:rsidR="00E25018" w:rsidRPr="00C360A6">
              <w:t>-</w:t>
            </w:r>
            <w:r w:rsidRPr="00C360A6">
              <w:t>life and palliative care framework</w:t>
            </w:r>
            <w:r w:rsidR="00523C6A" w:rsidRPr="00C360A6">
              <w:t>. This</w:t>
            </w:r>
            <w:r w:rsidR="00523C6A" w:rsidRPr="00C360A6">
              <w:rPr>
                <w:b/>
                <w:bCs/>
              </w:rPr>
              <w:t xml:space="preserve"> </w:t>
            </w:r>
            <w:r w:rsidRPr="00C360A6">
              <w:t xml:space="preserve">will ensure all Victorians and their families receive </w:t>
            </w:r>
            <w:r w:rsidRPr="00C360A6">
              <w:rPr>
                <w:b/>
                <w:bCs/>
              </w:rPr>
              <w:t>the best possible end</w:t>
            </w:r>
            <w:r w:rsidR="00DD4E38" w:rsidRPr="00C360A6">
              <w:rPr>
                <w:b/>
                <w:bCs/>
              </w:rPr>
              <w:t>-</w:t>
            </w:r>
            <w:r w:rsidRPr="00C360A6">
              <w:rPr>
                <w:b/>
                <w:bCs/>
              </w:rPr>
              <w:t>of</w:t>
            </w:r>
            <w:r w:rsidR="00DD4E38" w:rsidRPr="00C360A6">
              <w:rPr>
                <w:b/>
                <w:bCs/>
              </w:rPr>
              <w:t>-</w:t>
            </w:r>
            <w:r w:rsidRPr="00C360A6">
              <w:rPr>
                <w:b/>
                <w:bCs/>
              </w:rPr>
              <w:t>life care</w:t>
            </w:r>
            <w:r w:rsidR="00DD4E38" w:rsidRPr="00C360A6">
              <w:t>.</w:t>
            </w:r>
            <w:r w:rsidR="00DD4E38" w:rsidRPr="00C360A6">
              <w:rPr>
                <w:b/>
                <w:bCs/>
              </w:rPr>
              <w:t xml:space="preserve"> </w:t>
            </w:r>
            <w:r w:rsidR="00DD4E38" w:rsidRPr="00C360A6">
              <w:t xml:space="preserve">This care will </w:t>
            </w:r>
            <w:r w:rsidRPr="00C360A6">
              <w:t xml:space="preserve">place them at the centre where preferences, values, </w:t>
            </w:r>
            <w:proofErr w:type="gramStart"/>
            <w:r w:rsidRPr="00C360A6">
              <w:t>dignity</w:t>
            </w:r>
            <w:proofErr w:type="gramEnd"/>
            <w:r w:rsidRPr="00C360A6">
              <w:t xml:space="preserve"> and comfort are respected, and quality of life matters most.</w:t>
            </w:r>
          </w:p>
        </w:tc>
        <w:tc>
          <w:tcPr>
            <w:tcW w:w="1275" w:type="dxa"/>
            <w:shd w:val="clear" w:color="auto" w:fill="auto"/>
          </w:tcPr>
          <w:p w14:paraId="70BF9F32" w14:textId="77777777" w:rsidR="009E6793" w:rsidRPr="00C360A6" w:rsidRDefault="009E6793" w:rsidP="003122D9">
            <w:pPr>
              <w:pStyle w:val="Tabletext"/>
            </w:pPr>
            <w:r w:rsidRPr="00C360A6">
              <w:t>Current and ongoing</w:t>
            </w:r>
          </w:p>
        </w:tc>
        <w:tc>
          <w:tcPr>
            <w:tcW w:w="3351" w:type="dxa"/>
            <w:shd w:val="clear" w:color="auto" w:fill="auto"/>
          </w:tcPr>
          <w:p w14:paraId="024B2F17" w14:textId="694CA2DF" w:rsidR="009E6793" w:rsidRPr="00C360A6" w:rsidRDefault="009E6793" w:rsidP="003122D9">
            <w:pPr>
              <w:pStyle w:val="Tabletext"/>
            </w:pPr>
            <w:r w:rsidRPr="00C360A6">
              <w:t>Improved end</w:t>
            </w:r>
            <w:r w:rsidR="00234E79" w:rsidRPr="00C360A6">
              <w:t>-</w:t>
            </w:r>
            <w:r w:rsidRPr="00C360A6">
              <w:t>of</w:t>
            </w:r>
            <w:r w:rsidR="00234E79" w:rsidRPr="00C360A6">
              <w:t>-</w:t>
            </w:r>
            <w:r w:rsidRPr="00C360A6">
              <w:t>life and palliative care</w:t>
            </w:r>
          </w:p>
        </w:tc>
      </w:tr>
      <w:tr w:rsidR="009E6793" w:rsidRPr="00C360A6" w14:paraId="634EC150" w14:textId="77777777" w:rsidTr="00FA6983">
        <w:tc>
          <w:tcPr>
            <w:tcW w:w="4390" w:type="dxa"/>
            <w:shd w:val="clear" w:color="auto" w:fill="auto"/>
            <w:hideMark/>
          </w:tcPr>
          <w:p w14:paraId="3EBB01DB" w14:textId="7EA37068" w:rsidR="009E6793" w:rsidRPr="005F79B2" w:rsidRDefault="00AF3123" w:rsidP="003122D9">
            <w:pPr>
              <w:pStyle w:val="Tabletext"/>
            </w:pPr>
            <w:r w:rsidRPr="00C360A6">
              <w:t>S</w:t>
            </w:r>
            <w:r w:rsidR="009E6793" w:rsidRPr="00C360A6">
              <w:t>ervice delivery across Victoria at local, area-</w:t>
            </w:r>
            <w:proofErr w:type="gramStart"/>
            <w:r w:rsidR="009E6793" w:rsidRPr="00C360A6">
              <w:t>based</w:t>
            </w:r>
            <w:proofErr w:type="gramEnd"/>
            <w:r w:rsidR="009E6793" w:rsidRPr="00C360A6">
              <w:t xml:space="preserve"> and </w:t>
            </w:r>
            <w:proofErr w:type="spellStart"/>
            <w:r w:rsidR="009E6793" w:rsidRPr="00C360A6">
              <w:t>statewide</w:t>
            </w:r>
            <w:proofErr w:type="spellEnd"/>
            <w:r w:rsidR="009E6793" w:rsidRPr="00C360A6">
              <w:t xml:space="preserve"> levels, including </w:t>
            </w:r>
            <w:r w:rsidR="009E6793" w:rsidRPr="00C360A6">
              <w:rPr>
                <w:b/>
                <w:bCs/>
              </w:rPr>
              <w:t>22 Adult and Older Adult Area Mental Health and Wellbeing Services</w:t>
            </w:r>
            <w:r w:rsidRPr="00C360A6">
              <w:t xml:space="preserve">. </w:t>
            </w:r>
            <w:r w:rsidR="005323E8" w:rsidRPr="00C360A6">
              <w:t>We</w:t>
            </w:r>
            <w:r w:rsidRPr="00C360A6">
              <w:t xml:space="preserve"> will </w:t>
            </w:r>
            <w:r w:rsidR="009E6793" w:rsidRPr="00C360A6">
              <w:t xml:space="preserve">deliver </w:t>
            </w:r>
            <w:r w:rsidR="005323E8" w:rsidRPr="00C360A6">
              <w:t xml:space="preserve">these </w:t>
            </w:r>
            <w:r w:rsidR="009E6793" w:rsidRPr="00C360A6">
              <w:t xml:space="preserve">partnerships between public health services and hospitals and non-government organisations that </w:t>
            </w:r>
            <w:r w:rsidR="005323E8" w:rsidRPr="00C360A6">
              <w:t xml:space="preserve">provide </w:t>
            </w:r>
            <w:r w:rsidR="009E6793" w:rsidRPr="00C360A6">
              <w:t>wellbeing supports.</w:t>
            </w:r>
          </w:p>
        </w:tc>
        <w:tc>
          <w:tcPr>
            <w:tcW w:w="1275" w:type="dxa"/>
            <w:shd w:val="clear" w:color="auto" w:fill="auto"/>
            <w:hideMark/>
          </w:tcPr>
          <w:p w14:paraId="274300E8" w14:textId="5C453464" w:rsidR="009E6793" w:rsidRPr="00C360A6" w:rsidRDefault="009E6793" w:rsidP="003122D9">
            <w:pPr>
              <w:pStyle w:val="Tabletext"/>
              <w:rPr>
                <w:rFonts w:ascii="Calibri" w:hAnsi="Calibri" w:cs="Calibri"/>
              </w:rPr>
            </w:pPr>
            <w:r w:rsidRPr="00C360A6">
              <w:t>2022</w:t>
            </w:r>
            <w:r w:rsidR="0032791F" w:rsidRPr="00C360A6">
              <w:t>–</w:t>
            </w:r>
            <w:r w:rsidRPr="00C360A6">
              <w:t>23</w:t>
            </w:r>
          </w:p>
        </w:tc>
        <w:tc>
          <w:tcPr>
            <w:tcW w:w="3351" w:type="dxa"/>
            <w:shd w:val="clear" w:color="auto" w:fill="auto"/>
            <w:hideMark/>
          </w:tcPr>
          <w:p w14:paraId="554215E4" w14:textId="5F1C5066" w:rsidR="009E6793" w:rsidRPr="005F79B2" w:rsidRDefault="009E6793" w:rsidP="003122D9">
            <w:pPr>
              <w:pStyle w:val="Tabletext"/>
            </w:pPr>
            <w:r w:rsidRPr="00C360A6">
              <w:t>Improved mental health and wellbeing of adults and older adults with higher levels of need</w:t>
            </w:r>
          </w:p>
        </w:tc>
      </w:tr>
      <w:tr w:rsidR="009E6793" w:rsidRPr="00C360A6" w14:paraId="6F7558CA" w14:textId="77777777" w:rsidTr="00FA6983">
        <w:tc>
          <w:tcPr>
            <w:tcW w:w="4390" w:type="dxa"/>
            <w:shd w:val="clear" w:color="auto" w:fill="auto"/>
            <w:hideMark/>
          </w:tcPr>
          <w:p w14:paraId="43F780CA" w14:textId="6E17D97C" w:rsidR="009E6793" w:rsidRPr="005F79B2" w:rsidRDefault="00AF3123" w:rsidP="003122D9">
            <w:pPr>
              <w:pStyle w:val="Tabletext"/>
              <w:rPr>
                <w:szCs w:val="21"/>
              </w:rPr>
            </w:pPr>
            <w:r w:rsidRPr="00C360A6">
              <w:rPr>
                <w:szCs w:val="21"/>
              </w:rPr>
              <w:t>A</w:t>
            </w:r>
            <w:r w:rsidR="009E6793" w:rsidRPr="00C360A6">
              <w:rPr>
                <w:b/>
                <w:bCs/>
                <w:szCs w:val="21"/>
              </w:rPr>
              <w:t xml:space="preserve"> responsive integrated mental health and wellbeing service stream for older Victorians</w:t>
            </w:r>
            <w:r w:rsidRPr="00C360A6">
              <w:rPr>
                <w:szCs w:val="21"/>
              </w:rPr>
              <w:t xml:space="preserve">. The stream </w:t>
            </w:r>
            <w:r w:rsidR="009E6793" w:rsidRPr="00C360A6">
              <w:rPr>
                <w:szCs w:val="21"/>
              </w:rPr>
              <w:t xml:space="preserve">will ensure improved access to the same mental health treatment, </w:t>
            </w:r>
            <w:proofErr w:type="gramStart"/>
            <w:r w:rsidR="009E6793" w:rsidRPr="00C360A6">
              <w:rPr>
                <w:szCs w:val="21"/>
              </w:rPr>
              <w:t>care</w:t>
            </w:r>
            <w:proofErr w:type="gramEnd"/>
            <w:r w:rsidR="009E6793" w:rsidRPr="00C360A6">
              <w:rPr>
                <w:szCs w:val="21"/>
              </w:rPr>
              <w:t xml:space="preserve"> and support as the rest of the adult population.</w:t>
            </w:r>
          </w:p>
        </w:tc>
        <w:tc>
          <w:tcPr>
            <w:tcW w:w="1275" w:type="dxa"/>
            <w:shd w:val="clear" w:color="auto" w:fill="auto"/>
            <w:hideMark/>
          </w:tcPr>
          <w:p w14:paraId="0914AAC4" w14:textId="699AE2D3" w:rsidR="009E6793" w:rsidRPr="00C360A6" w:rsidRDefault="009E6793" w:rsidP="003122D9">
            <w:pPr>
              <w:pStyle w:val="Tabletext"/>
            </w:pPr>
            <w:r w:rsidRPr="00C360A6">
              <w:t>2022</w:t>
            </w:r>
            <w:r w:rsidR="0032791F" w:rsidRPr="00C360A6">
              <w:t>–</w:t>
            </w:r>
            <w:r w:rsidRPr="00C360A6">
              <w:t>23</w:t>
            </w:r>
          </w:p>
        </w:tc>
        <w:tc>
          <w:tcPr>
            <w:tcW w:w="3351" w:type="dxa"/>
            <w:shd w:val="clear" w:color="auto" w:fill="auto"/>
            <w:hideMark/>
          </w:tcPr>
          <w:p w14:paraId="78E7CB76" w14:textId="75FC9F4D" w:rsidR="009E6793" w:rsidRPr="00C360A6" w:rsidRDefault="009E6793" w:rsidP="003122D9">
            <w:pPr>
              <w:pStyle w:val="Tabletext"/>
            </w:pPr>
            <w:r w:rsidRPr="00C360A6">
              <w:t>Improved care and mental health and wellbeing outcomes for older adults</w:t>
            </w:r>
          </w:p>
        </w:tc>
      </w:tr>
    </w:tbl>
    <w:p w14:paraId="03DC1F05" w14:textId="77777777" w:rsidR="009E6793" w:rsidRPr="00C360A6" w:rsidRDefault="009E6793" w:rsidP="0053739A">
      <w:pPr>
        <w:pStyle w:val="Body"/>
      </w:pPr>
    </w:p>
    <w:tbl>
      <w:tblPr>
        <w:tblStyle w:val="TableGrid"/>
        <w:tblW w:w="0" w:type="auto"/>
        <w:tblLook w:val="0620" w:firstRow="1" w:lastRow="0" w:firstColumn="0" w:lastColumn="0" w:noHBand="1" w:noVBand="1"/>
      </w:tblPr>
      <w:tblGrid>
        <w:gridCol w:w="4166"/>
        <w:gridCol w:w="1648"/>
        <w:gridCol w:w="3202"/>
      </w:tblGrid>
      <w:tr w:rsidR="009E6793" w:rsidRPr="00C360A6" w14:paraId="4315566A" w14:textId="77777777" w:rsidTr="27D16DB0">
        <w:trPr>
          <w:tblHeader/>
        </w:trPr>
        <w:tc>
          <w:tcPr>
            <w:tcW w:w="4166" w:type="dxa"/>
          </w:tcPr>
          <w:p w14:paraId="17ECC221" w14:textId="77784754" w:rsidR="009E6793" w:rsidRPr="00C360A6" w:rsidRDefault="009E6793" w:rsidP="003122D9">
            <w:pPr>
              <w:pStyle w:val="Tablecolhead"/>
            </w:pPr>
            <w:r w:rsidRPr="00C360A6">
              <w:t>What the government is delivering</w:t>
            </w:r>
          </w:p>
        </w:tc>
        <w:tc>
          <w:tcPr>
            <w:tcW w:w="1648" w:type="dxa"/>
          </w:tcPr>
          <w:p w14:paraId="70E036B0" w14:textId="77777777" w:rsidR="009E6793" w:rsidRPr="00C360A6" w:rsidRDefault="009E6793" w:rsidP="003122D9">
            <w:pPr>
              <w:pStyle w:val="Tablecolhead"/>
            </w:pPr>
            <w:r w:rsidRPr="00C360A6">
              <w:t>When</w:t>
            </w:r>
          </w:p>
        </w:tc>
        <w:tc>
          <w:tcPr>
            <w:tcW w:w="3202" w:type="dxa"/>
          </w:tcPr>
          <w:p w14:paraId="649F01CF" w14:textId="77777777" w:rsidR="009E6793" w:rsidRPr="00C360A6" w:rsidRDefault="009E6793" w:rsidP="003122D9">
            <w:pPr>
              <w:pStyle w:val="Tablecolhead"/>
            </w:pPr>
            <w:r w:rsidRPr="00C360A6">
              <w:t>Impact</w:t>
            </w:r>
          </w:p>
        </w:tc>
      </w:tr>
      <w:tr w:rsidR="009E6793" w:rsidRPr="00C360A6" w14:paraId="7583E154" w14:textId="77777777" w:rsidTr="27D16DB0">
        <w:tc>
          <w:tcPr>
            <w:tcW w:w="4166" w:type="dxa"/>
          </w:tcPr>
          <w:p w14:paraId="4D1BAC3D" w14:textId="296E5BB7" w:rsidR="009E6793" w:rsidRPr="00C360A6" w:rsidRDefault="009E6793" w:rsidP="003122D9">
            <w:pPr>
              <w:pStyle w:val="Tabletext"/>
              <w:rPr>
                <w:rFonts w:eastAsiaTheme="minorHAnsi"/>
              </w:rPr>
            </w:pPr>
            <w:r w:rsidRPr="00C360A6">
              <w:t xml:space="preserve">The </w:t>
            </w:r>
            <w:r w:rsidRPr="00C360A6">
              <w:rPr>
                <w:b/>
                <w:bCs/>
              </w:rPr>
              <w:t>Aboriginal Health and Wellbeing Partnership Forum</w:t>
            </w:r>
            <w:r w:rsidRPr="00C360A6">
              <w:t xml:space="preserve"> strategic priorities</w:t>
            </w:r>
            <w:r w:rsidR="00F820DB" w:rsidRPr="00C360A6">
              <w:t>. These are</w:t>
            </w:r>
            <w:r w:rsidRPr="00C360A6">
              <w:t xml:space="preserve"> in line with the National Agreement on Closing the Gap priority reforms and </w:t>
            </w:r>
            <w:proofErr w:type="spellStart"/>
            <w:r w:rsidRPr="00C360A6">
              <w:t>Korin</w:t>
            </w:r>
            <w:proofErr w:type="spellEnd"/>
            <w:r w:rsidRPr="00C360A6">
              <w:t xml:space="preserve"> </w:t>
            </w:r>
            <w:proofErr w:type="spellStart"/>
            <w:r w:rsidRPr="00C360A6">
              <w:t>Korin</w:t>
            </w:r>
            <w:proofErr w:type="spellEnd"/>
            <w:r w:rsidRPr="00C360A6">
              <w:t xml:space="preserve"> </w:t>
            </w:r>
            <w:proofErr w:type="spellStart"/>
            <w:r w:rsidRPr="00C360A6">
              <w:t>Balit-Djak</w:t>
            </w:r>
            <w:proofErr w:type="spellEnd"/>
            <w:r w:rsidRPr="00C360A6">
              <w:t xml:space="preserve"> system transformation priorities.</w:t>
            </w:r>
          </w:p>
        </w:tc>
        <w:tc>
          <w:tcPr>
            <w:tcW w:w="1648" w:type="dxa"/>
          </w:tcPr>
          <w:p w14:paraId="39AB7F2C" w14:textId="77777777" w:rsidR="009E6793" w:rsidRPr="00C360A6" w:rsidRDefault="009E6793" w:rsidP="003122D9">
            <w:pPr>
              <w:pStyle w:val="Tabletext"/>
            </w:pPr>
            <w:r w:rsidRPr="00C360A6">
              <w:t>Ongoing</w:t>
            </w:r>
          </w:p>
        </w:tc>
        <w:tc>
          <w:tcPr>
            <w:tcW w:w="3202" w:type="dxa"/>
          </w:tcPr>
          <w:p w14:paraId="033A7AC1" w14:textId="5064FAAE" w:rsidR="009E6793" w:rsidRPr="00C360A6" w:rsidRDefault="009E6793" w:rsidP="003122D9">
            <w:pPr>
              <w:pStyle w:val="Tabletext"/>
            </w:pPr>
            <w:r w:rsidRPr="00C360A6">
              <w:t>Aboriginal community</w:t>
            </w:r>
            <w:r w:rsidR="00F820DB" w:rsidRPr="00C360A6">
              <w:t>-</w:t>
            </w:r>
            <w:r w:rsidRPr="00C360A6">
              <w:t>controlled organisations enabled to support Elders to determine their health priorities and plans</w:t>
            </w:r>
          </w:p>
        </w:tc>
      </w:tr>
      <w:tr w:rsidR="009E6793" w:rsidRPr="00C360A6" w14:paraId="2F64F95A" w14:textId="77777777" w:rsidTr="27D16DB0">
        <w:tc>
          <w:tcPr>
            <w:tcW w:w="4166" w:type="dxa"/>
            <w:tcBorders>
              <w:bottom w:val="single" w:sz="4" w:space="0" w:color="auto"/>
            </w:tcBorders>
          </w:tcPr>
          <w:p w14:paraId="3CC30C29" w14:textId="4CF1BF6D" w:rsidR="009E6793" w:rsidRPr="00C360A6" w:rsidRDefault="009E6793" w:rsidP="003122D9">
            <w:pPr>
              <w:pStyle w:val="Tabletext"/>
              <w:rPr>
                <w:rFonts w:eastAsiaTheme="minorHAnsi"/>
              </w:rPr>
            </w:pPr>
            <w:r w:rsidRPr="00C360A6">
              <w:rPr>
                <w:rFonts w:eastAsiaTheme="minorHAnsi"/>
              </w:rPr>
              <w:lastRenderedPageBreak/>
              <w:t xml:space="preserve">Cancer screening and </w:t>
            </w:r>
            <w:r w:rsidRPr="00C360A6">
              <w:rPr>
                <w:rFonts w:eastAsiaTheme="minorHAnsi"/>
                <w:b/>
                <w:bCs/>
              </w:rPr>
              <w:t>health promotion</w:t>
            </w:r>
            <w:r w:rsidRPr="00C360A6">
              <w:rPr>
                <w:rFonts w:eastAsiaTheme="minorHAnsi"/>
              </w:rPr>
              <w:t xml:space="preserve"> programs on </w:t>
            </w:r>
            <w:r w:rsidR="00443AFA" w:rsidRPr="00C360A6">
              <w:rPr>
                <w:rFonts w:eastAsiaTheme="minorHAnsi"/>
              </w:rPr>
              <w:t>t</w:t>
            </w:r>
            <w:r w:rsidRPr="00C360A6">
              <w:rPr>
                <w:rFonts w:eastAsiaTheme="minorHAnsi"/>
              </w:rPr>
              <w:t>ype 2 diabetes, heart disease and stroke prevention.</w:t>
            </w:r>
          </w:p>
        </w:tc>
        <w:tc>
          <w:tcPr>
            <w:tcW w:w="1648" w:type="dxa"/>
          </w:tcPr>
          <w:p w14:paraId="21B667D9" w14:textId="77777777" w:rsidR="009E6793" w:rsidRPr="00C360A6" w:rsidRDefault="009E6793" w:rsidP="003122D9">
            <w:pPr>
              <w:pStyle w:val="Tabletext"/>
            </w:pPr>
            <w:r w:rsidRPr="00C360A6">
              <w:t>Ongoing</w:t>
            </w:r>
          </w:p>
        </w:tc>
        <w:tc>
          <w:tcPr>
            <w:tcW w:w="3202" w:type="dxa"/>
          </w:tcPr>
          <w:p w14:paraId="6DBAB956" w14:textId="714986BF" w:rsidR="009E6793" w:rsidRPr="00C360A6" w:rsidRDefault="009E6793" w:rsidP="003122D9">
            <w:pPr>
              <w:pStyle w:val="Tabletext"/>
            </w:pPr>
            <w:r w:rsidRPr="00C360A6">
              <w:t>More people engaging in healthy activities to prevent and address chronic conditions</w:t>
            </w:r>
          </w:p>
        </w:tc>
      </w:tr>
      <w:tr w:rsidR="009E6793" w:rsidRPr="00C360A6" w14:paraId="75258B47" w14:textId="77777777" w:rsidTr="27D16DB0">
        <w:tc>
          <w:tcPr>
            <w:tcW w:w="4166" w:type="dxa"/>
            <w:tcBorders>
              <w:top w:val="single" w:sz="4" w:space="0" w:color="auto"/>
              <w:left w:val="single" w:sz="8" w:space="0" w:color="auto"/>
              <w:bottom w:val="single" w:sz="4" w:space="0" w:color="auto"/>
              <w:right w:val="single" w:sz="8" w:space="0" w:color="auto"/>
            </w:tcBorders>
          </w:tcPr>
          <w:p w14:paraId="62293FC1" w14:textId="23FF6621" w:rsidR="009E6793" w:rsidRPr="00C360A6" w:rsidRDefault="009E6793" w:rsidP="003122D9">
            <w:pPr>
              <w:pStyle w:val="Tabletext"/>
              <w:rPr>
                <w:rFonts w:eastAsiaTheme="minorHAnsi"/>
              </w:rPr>
            </w:pPr>
            <w:bookmarkStart w:id="32" w:name="_Hlk92281260"/>
            <w:r w:rsidRPr="00C360A6">
              <w:rPr>
                <w:b/>
                <w:bCs/>
              </w:rPr>
              <w:t>Social prescribing trials</w:t>
            </w:r>
            <w:r w:rsidRPr="00C360A6">
              <w:t xml:space="preserve"> in the first six Local Adult and Older Adult Mental Health and Wellbeing Services. The trials </w:t>
            </w:r>
            <w:r w:rsidR="00523C6A" w:rsidRPr="00C360A6">
              <w:t xml:space="preserve">will prioritise isolated senior Victorians, </w:t>
            </w:r>
            <w:r w:rsidRPr="00C360A6">
              <w:t>support</w:t>
            </w:r>
            <w:r w:rsidR="00523C6A" w:rsidRPr="00C360A6">
              <w:t>ing</w:t>
            </w:r>
            <w:r w:rsidRPr="00C360A6">
              <w:t xml:space="preserve"> health professionals to refer people </w:t>
            </w:r>
            <w:r w:rsidR="005323E8" w:rsidRPr="00C360A6">
              <w:t xml:space="preserve">with </w:t>
            </w:r>
            <w:r w:rsidRPr="00C360A6">
              <w:t>psychological distress or mental illness into community initiatives.</w:t>
            </w:r>
          </w:p>
        </w:tc>
        <w:tc>
          <w:tcPr>
            <w:tcW w:w="1648" w:type="dxa"/>
            <w:tcBorders>
              <w:top w:val="nil"/>
              <w:left w:val="nil"/>
              <w:bottom w:val="single" w:sz="8" w:space="0" w:color="auto"/>
              <w:right w:val="single" w:sz="8" w:space="0" w:color="auto"/>
            </w:tcBorders>
          </w:tcPr>
          <w:p w14:paraId="637FC1AD" w14:textId="2529C7A6" w:rsidR="009E6793" w:rsidRPr="00C360A6" w:rsidRDefault="009E6793" w:rsidP="003122D9">
            <w:pPr>
              <w:pStyle w:val="Tabletext"/>
            </w:pPr>
            <w:r w:rsidRPr="00C360A6">
              <w:t>From 2022</w:t>
            </w:r>
          </w:p>
          <w:p w14:paraId="3735FFA3" w14:textId="77777777" w:rsidR="009E6793" w:rsidRPr="00C360A6" w:rsidRDefault="009E6793" w:rsidP="003122D9">
            <w:pPr>
              <w:pStyle w:val="Tabletext"/>
            </w:pPr>
            <w:r w:rsidRPr="00C360A6">
              <w:t xml:space="preserve">(three-year trial) </w:t>
            </w:r>
          </w:p>
        </w:tc>
        <w:tc>
          <w:tcPr>
            <w:tcW w:w="3202" w:type="dxa"/>
            <w:tcBorders>
              <w:top w:val="nil"/>
              <w:left w:val="nil"/>
              <w:bottom w:val="single" w:sz="8" w:space="0" w:color="auto"/>
              <w:right w:val="single" w:sz="8" w:space="0" w:color="auto"/>
            </w:tcBorders>
          </w:tcPr>
          <w:p w14:paraId="2D9CD85F" w14:textId="5AA824E9" w:rsidR="009E6793" w:rsidRPr="00C360A6" w:rsidRDefault="009E6793" w:rsidP="003122D9">
            <w:pPr>
              <w:pStyle w:val="Tabletext"/>
            </w:pPr>
            <w:r w:rsidRPr="00C360A6">
              <w:t xml:space="preserve">Improved community participation, </w:t>
            </w:r>
            <w:proofErr w:type="gramStart"/>
            <w:r w:rsidRPr="00C360A6">
              <w:t>inclusion</w:t>
            </w:r>
            <w:proofErr w:type="gramEnd"/>
            <w:r w:rsidRPr="00C360A6">
              <w:t xml:space="preserve"> and connection for senior Victorians</w:t>
            </w:r>
          </w:p>
        </w:tc>
      </w:tr>
      <w:tr w:rsidR="009E6793" w:rsidRPr="00C360A6" w14:paraId="6BC26F70" w14:textId="77777777" w:rsidTr="27D16DB0">
        <w:tc>
          <w:tcPr>
            <w:tcW w:w="4166" w:type="dxa"/>
            <w:tcBorders>
              <w:top w:val="single" w:sz="4" w:space="0" w:color="auto"/>
              <w:left w:val="single" w:sz="8" w:space="0" w:color="auto"/>
              <w:bottom w:val="single" w:sz="4" w:space="0" w:color="auto"/>
              <w:right w:val="single" w:sz="8" w:space="0" w:color="auto"/>
            </w:tcBorders>
          </w:tcPr>
          <w:p w14:paraId="5848CE18" w14:textId="17FDD20A" w:rsidR="009E6793" w:rsidRPr="00C360A6" w:rsidRDefault="009E6793" w:rsidP="003122D9">
            <w:pPr>
              <w:pStyle w:val="Tabletext"/>
            </w:pPr>
            <w:r w:rsidRPr="00C360A6">
              <w:t>The largest public sector residential aged care services (PSRACS) sector in Australia</w:t>
            </w:r>
            <w:r w:rsidR="00F820DB" w:rsidRPr="00C360A6">
              <w:t>. The sector</w:t>
            </w:r>
            <w:r w:rsidRPr="00C360A6">
              <w:t xml:space="preserve"> </w:t>
            </w:r>
            <w:r w:rsidR="00F820DB" w:rsidRPr="00C360A6">
              <w:t xml:space="preserve">will </w:t>
            </w:r>
            <w:r w:rsidRPr="00C360A6">
              <w:t>provid</w:t>
            </w:r>
            <w:r w:rsidR="00F820DB" w:rsidRPr="00C360A6">
              <w:t>e</w:t>
            </w:r>
            <w:r w:rsidRPr="00C360A6">
              <w:t xml:space="preserve"> 5,620 operational PSRACS places across Victoria (</w:t>
            </w:r>
            <w:proofErr w:type="gramStart"/>
            <w:r w:rsidRPr="00C360A6">
              <w:t>at</w:t>
            </w:r>
            <w:proofErr w:type="gramEnd"/>
            <w:r w:rsidRPr="00C360A6">
              <w:t xml:space="preserve"> 31 March 2021). PSRACS also include </w:t>
            </w:r>
            <w:r w:rsidRPr="00C360A6">
              <w:rPr>
                <w:b/>
                <w:bCs/>
              </w:rPr>
              <w:t>specialist aged persons’ mental health facilities</w:t>
            </w:r>
            <w:r w:rsidR="00F820DB" w:rsidRPr="00C360A6">
              <w:t>. These facilities</w:t>
            </w:r>
            <w:r w:rsidRPr="00C360A6">
              <w:t xml:space="preserve"> address the needs of vulnerable older people with complex physical and/or mental health needs.</w:t>
            </w:r>
          </w:p>
        </w:tc>
        <w:tc>
          <w:tcPr>
            <w:tcW w:w="1648" w:type="dxa"/>
            <w:tcBorders>
              <w:top w:val="nil"/>
              <w:left w:val="nil"/>
              <w:bottom w:val="single" w:sz="4" w:space="0" w:color="auto"/>
              <w:right w:val="single" w:sz="8" w:space="0" w:color="auto"/>
            </w:tcBorders>
          </w:tcPr>
          <w:p w14:paraId="7C175AE9" w14:textId="77777777" w:rsidR="009E6793" w:rsidRPr="00C360A6" w:rsidRDefault="009E6793" w:rsidP="003122D9">
            <w:pPr>
              <w:pStyle w:val="Tabletext"/>
            </w:pPr>
            <w:r w:rsidRPr="00C360A6">
              <w:t xml:space="preserve">Current and ongoing </w:t>
            </w:r>
          </w:p>
        </w:tc>
        <w:tc>
          <w:tcPr>
            <w:tcW w:w="3202" w:type="dxa"/>
            <w:tcBorders>
              <w:top w:val="nil"/>
              <w:left w:val="nil"/>
              <w:bottom w:val="single" w:sz="4" w:space="0" w:color="auto"/>
              <w:right w:val="single" w:sz="8" w:space="0" w:color="auto"/>
            </w:tcBorders>
          </w:tcPr>
          <w:p w14:paraId="2707A7F0" w14:textId="1DFA50A2" w:rsidR="009E6793" w:rsidRPr="00C360A6" w:rsidRDefault="009E6793" w:rsidP="003122D9">
            <w:pPr>
              <w:pStyle w:val="Tabletext"/>
            </w:pPr>
            <w:r w:rsidRPr="00C360A6">
              <w:t>Maintaining access to appropriate care and support for senior Victorians w</w:t>
            </w:r>
            <w:r w:rsidR="005323E8" w:rsidRPr="00C360A6">
              <w:t>ith</w:t>
            </w:r>
            <w:r w:rsidRPr="00C360A6">
              <w:t xml:space="preserve"> socioeconomic disadvantage, or who have complex care needs</w:t>
            </w:r>
          </w:p>
        </w:tc>
      </w:tr>
      <w:tr w:rsidR="009E6793" w:rsidRPr="00C360A6" w14:paraId="0ABCA39D" w14:textId="77777777" w:rsidTr="27D16DB0">
        <w:tc>
          <w:tcPr>
            <w:tcW w:w="4166" w:type="dxa"/>
            <w:tcBorders>
              <w:top w:val="nil"/>
              <w:left w:val="single" w:sz="8" w:space="0" w:color="auto"/>
              <w:bottom w:val="single" w:sz="4" w:space="0" w:color="auto"/>
              <w:right w:val="single" w:sz="8" w:space="0" w:color="auto"/>
            </w:tcBorders>
          </w:tcPr>
          <w:p w14:paraId="551C9BE3" w14:textId="6034592D" w:rsidR="009E6793" w:rsidRPr="00C360A6" w:rsidRDefault="009E6793" w:rsidP="003122D9">
            <w:pPr>
              <w:pStyle w:val="Tabletext"/>
              <w:rPr>
                <w:rFonts w:eastAsia="Times"/>
              </w:rPr>
            </w:pPr>
            <w:r w:rsidRPr="00C360A6">
              <w:t xml:space="preserve">Aged </w:t>
            </w:r>
            <w:r w:rsidR="00D06854" w:rsidRPr="00C360A6">
              <w:t>p</w:t>
            </w:r>
            <w:r w:rsidRPr="00C360A6">
              <w:t xml:space="preserve">ersons </w:t>
            </w:r>
            <w:r w:rsidR="00D06854" w:rsidRPr="00C360A6">
              <w:t>m</w:t>
            </w:r>
            <w:r w:rsidRPr="00C360A6">
              <w:t xml:space="preserve">ental </w:t>
            </w:r>
            <w:r w:rsidR="00D06854" w:rsidRPr="00C360A6">
              <w:t>h</w:t>
            </w:r>
            <w:r w:rsidRPr="00C360A6">
              <w:t>ealth inpatient units</w:t>
            </w:r>
            <w:r w:rsidR="00D06854" w:rsidRPr="00C360A6">
              <w:t xml:space="preserve">. These units </w:t>
            </w:r>
            <w:r w:rsidRPr="00C360A6">
              <w:t xml:space="preserve">provide assessment and </w:t>
            </w:r>
            <w:r w:rsidRPr="00C360A6">
              <w:rPr>
                <w:b/>
                <w:bCs/>
              </w:rPr>
              <w:t>treatment for older adults with acute symptoms of mental illness</w:t>
            </w:r>
            <w:r w:rsidRPr="00C360A6">
              <w:t xml:space="preserve"> through recovery-oriented care.</w:t>
            </w:r>
          </w:p>
        </w:tc>
        <w:tc>
          <w:tcPr>
            <w:tcW w:w="1648" w:type="dxa"/>
            <w:tcBorders>
              <w:top w:val="nil"/>
              <w:left w:val="nil"/>
              <w:bottom w:val="single" w:sz="4" w:space="0" w:color="auto"/>
              <w:right w:val="single" w:sz="8" w:space="0" w:color="auto"/>
            </w:tcBorders>
          </w:tcPr>
          <w:p w14:paraId="45953D6A" w14:textId="77777777" w:rsidR="009E6793" w:rsidRPr="00C360A6" w:rsidRDefault="009E6793" w:rsidP="003122D9">
            <w:pPr>
              <w:pStyle w:val="Tabletext"/>
            </w:pPr>
            <w:r w:rsidRPr="00C360A6">
              <w:t>Current and ongoing</w:t>
            </w:r>
          </w:p>
        </w:tc>
        <w:tc>
          <w:tcPr>
            <w:tcW w:w="3202" w:type="dxa"/>
            <w:tcBorders>
              <w:top w:val="nil"/>
              <w:left w:val="nil"/>
              <w:bottom w:val="single" w:sz="4" w:space="0" w:color="auto"/>
              <w:right w:val="single" w:sz="8" w:space="0" w:color="auto"/>
            </w:tcBorders>
          </w:tcPr>
          <w:p w14:paraId="0961DF35" w14:textId="534E0D2E" w:rsidR="009E6793" w:rsidRPr="00C360A6" w:rsidRDefault="009E6793" w:rsidP="003122D9">
            <w:pPr>
              <w:pStyle w:val="Tabletext"/>
            </w:pPr>
            <w:r w:rsidRPr="00C360A6">
              <w:t>Improved mental health and wellbeing outcomes for older people during an acute phase of mental illness</w:t>
            </w:r>
          </w:p>
        </w:tc>
      </w:tr>
      <w:tr w:rsidR="009E6793" w:rsidRPr="00C360A6" w14:paraId="4AC4A991" w14:textId="77777777" w:rsidTr="27D16DB0">
        <w:tc>
          <w:tcPr>
            <w:tcW w:w="4166" w:type="dxa"/>
            <w:tcBorders>
              <w:top w:val="nil"/>
              <w:left w:val="single" w:sz="8" w:space="0" w:color="auto"/>
              <w:bottom w:val="single" w:sz="4" w:space="0" w:color="auto"/>
              <w:right w:val="single" w:sz="8" w:space="0" w:color="auto"/>
            </w:tcBorders>
          </w:tcPr>
          <w:p w14:paraId="24AE0CD0" w14:textId="1C62D6E1" w:rsidR="00D06854" w:rsidRPr="005F79B2" w:rsidRDefault="009E6793" w:rsidP="003122D9">
            <w:pPr>
              <w:pStyle w:val="Tabletext"/>
            </w:pPr>
            <w:r w:rsidRPr="00C360A6">
              <w:rPr>
                <w:b/>
                <w:bCs/>
              </w:rPr>
              <w:t xml:space="preserve">60 Local Adult and Older Adult Mental Health and Wellbeing </w:t>
            </w:r>
            <w:r w:rsidRPr="005F79B2">
              <w:rPr>
                <w:b/>
                <w:bCs/>
              </w:rPr>
              <w:t>Services</w:t>
            </w:r>
            <w:r w:rsidR="00D06854" w:rsidRPr="005F79B2">
              <w:t>. These services offer:</w:t>
            </w:r>
            <w:r w:rsidRPr="005F79B2">
              <w:t xml:space="preserve"> </w:t>
            </w:r>
          </w:p>
          <w:p w14:paraId="74E16433" w14:textId="77777777" w:rsidR="00D06854" w:rsidRPr="00C360A6" w:rsidRDefault="009E6793" w:rsidP="006F4C32">
            <w:pPr>
              <w:pStyle w:val="Tablebullet1"/>
            </w:pPr>
            <w:r>
              <w:t xml:space="preserve">mental health treatment, </w:t>
            </w:r>
            <w:proofErr w:type="gramStart"/>
            <w:r>
              <w:t>care</w:t>
            </w:r>
            <w:proofErr w:type="gramEnd"/>
            <w:r>
              <w:t xml:space="preserve"> and support for people with mental health needs related to ageing</w:t>
            </w:r>
          </w:p>
          <w:p w14:paraId="262D8DB7" w14:textId="64B2B3E2" w:rsidR="009E6793" w:rsidRPr="00C360A6" w:rsidRDefault="009E6793" w:rsidP="006F4C32">
            <w:pPr>
              <w:pStyle w:val="Tablebullet1"/>
            </w:pPr>
            <w:r w:rsidRPr="00C360A6">
              <w:t xml:space="preserve">consultative </w:t>
            </w:r>
            <w:r w:rsidR="005323E8" w:rsidRPr="00C360A6">
              <w:t xml:space="preserve">help </w:t>
            </w:r>
            <w:r w:rsidRPr="00C360A6">
              <w:t xml:space="preserve">to primary and secondary care services that support older </w:t>
            </w:r>
            <w:r w:rsidR="00D06854" w:rsidRPr="00C360A6">
              <w:t>people</w:t>
            </w:r>
            <w:r w:rsidRPr="00C360A6">
              <w:t>, including of aged care.</w:t>
            </w:r>
          </w:p>
        </w:tc>
        <w:tc>
          <w:tcPr>
            <w:tcW w:w="1648" w:type="dxa"/>
            <w:tcBorders>
              <w:top w:val="nil"/>
              <w:left w:val="nil"/>
              <w:bottom w:val="single" w:sz="4" w:space="0" w:color="auto"/>
              <w:right w:val="single" w:sz="8" w:space="0" w:color="auto"/>
            </w:tcBorders>
          </w:tcPr>
          <w:p w14:paraId="3CA25F1A" w14:textId="36ABE082" w:rsidR="009E6793" w:rsidRPr="00C360A6" w:rsidRDefault="009E6793" w:rsidP="003122D9">
            <w:pPr>
              <w:pStyle w:val="Tabletext"/>
            </w:pPr>
            <w:r w:rsidRPr="00C360A6">
              <w:t>From 2022</w:t>
            </w:r>
            <w:r w:rsidR="001A2238" w:rsidRPr="00C360A6">
              <w:t>–</w:t>
            </w:r>
            <w:r w:rsidRPr="00C360A6">
              <w:t xml:space="preserve">23 </w:t>
            </w:r>
          </w:p>
        </w:tc>
        <w:tc>
          <w:tcPr>
            <w:tcW w:w="3202" w:type="dxa"/>
            <w:tcBorders>
              <w:top w:val="nil"/>
              <w:left w:val="nil"/>
              <w:bottom w:val="single" w:sz="4" w:space="0" w:color="auto"/>
              <w:right w:val="single" w:sz="8" w:space="0" w:color="auto"/>
            </w:tcBorders>
          </w:tcPr>
          <w:p w14:paraId="3C274D13" w14:textId="34ADB41D" w:rsidR="009E6793" w:rsidRPr="00C360A6" w:rsidRDefault="009E6793" w:rsidP="003122D9">
            <w:pPr>
              <w:pStyle w:val="Tabletext"/>
            </w:pPr>
            <w:r w:rsidRPr="00C360A6">
              <w:t>Improved mental health care access and wellbeing outcomes for older people</w:t>
            </w:r>
          </w:p>
        </w:tc>
      </w:tr>
      <w:bookmarkEnd w:id="32"/>
    </w:tbl>
    <w:p w14:paraId="1DB1F90E" w14:textId="77777777" w:rsidR="00B743FD" w:rsidRPr="00C360A6" w:rsidRDefault="00B743FD" w:rsidP="0053739A">
      <w:pPr>
        <w:pStyle w:val="Body"/>
        <w:rPr>
          <w:color w:val="201547"/>
          <w:szCs w:val="28"/>
        </w:rPr>
      </w:pPr>
      <w:r w:rsidRPr="00C360A6">
        <w:br w:type="page"/>
      </w:r>
    </w:p>
    <w:p w14:paraId="17D2AC3A" w14:textId="653E2F85" w:rsidR="009E6793" w:rsidRPr="00C360A6" w:rsidRDefault="009E6793" w:rsidP="00B743FD">
      <w:pPr>
        <w:pStyle w:val="Heading1"/>
      </w:pPr>
      <w:bookmarkStart w:id="33" w:name="_Toc104995720"/>
      <w:bookmarkStart w:id="34" w:name="_Toc107246684"/>
      <w:r w:rsidRPr="00C360A6">
        <w:lastRenderedPageBreak/>
        <w:t>Next steps</w:t>
      </w:r>
      <w:bookmarkEnd w:id="33"/>
      <w:bookmarkEnd w:id="34"/>
    </w:p>
    <w:p w14:paraId="0825F06F" w14:textId="7F6F7922" w:rsidR="009E6793" w:rsidRPr="00C360A6" w:rsidRDefault="009E6793" w:rsidP="0053739A">
      <w:pPr>
        <w:pStyle w:val="Body"/>
      </w:pPr>
      <w:r w:rsidRPr="00C360A6">
        <w:t>We will continue to consult with older people and listen to their lived experience through the Commissioner for Senior Victorians and the Senior Victorians Advisory Group</w:t>
      </w:r>
      <w:r w:rsidRPr="00C360A6">
        <w:rPr>
          <w:lang w:val="da-DK"/>
        </w:rPr>
        <w:t xml:space="preserve"> (SVAG). The Commissioner for Senior Victorians </w:t>
      </w:r>
      <w:r w:rsidR="000E71A1" w:rsidRPr="00C360A6">
        <w:rPr>
          <w:lang w:val="da-DK"/>
        </w:rPr>
        <w:t xml:space="preserve">chairs the SVAG. Its membership includes </w:t>
      </w:r>
      <w:r w:rsidRPr="00C360A6">
        <w:rPr>
          <w:lang w:val="da-DK"/>
        </w:rPr>
        <w:t xml:space="preserve">peak bodies and organisations representing a wide range of interests affecting senior Victorians. Members of the SVAG have provided advice throughout the pandemic on the </w:t>
      </w:r>
      <w:r w:rsidR="000E71A1" w:rsidRPr="00C360A6">
        <w:rPr>
          <w:lang w:val="da-DK"/>
        </w:rPr>
        <w:t xml:space="preserve">status </w:t>
      </w:r>
      <w:r w:rsidRPr="00C360A6">
        <w:rPr>
          <w:lang w:val="da-DK"/>
        </w:rPr>
        <w:t>of older people.</w:t>
      </w:r>
    </w:p>
    <w:p w14:paraId="491CE79E" w14:textId="728713B2" w:rsidR="009E6793" w:rsidRPr="0053739A" w:rsidRDefault="009E6793" w:rsidP="0053739A">
      <w:pPr>
        <w:pStyle w:val="Body"/>
        <w:rPr>
          <w:lang w:val="da-DK"/>
        </w:rPr>
      </w:pPr>
      <w:r w:rsidRPr="00C360A6">
        <w:rPr>
          <w:lang w:val="da-DK"/>
        </w:rPr>
        <w:t xml:space="preserve">The SVAG will continue to </w:t>
      </w:r>
      <w:r w:rsidR="005323E8" w:rsidRPr="00C360A6">
        <w:rPr>
          <w:lang w:val="da-DK"/>
        </w:rPr>
        <w:t xml:space="preserve">track </w:t>
      </w:r>
      <w:r w:rsidRPr="00C360A6">
        <w:rPr>
          <w:lang w:val="da-DK"/>
        </w:rPr>
        <w:t xml:space="preserve">and advise on the needs of older Victorians. The Commissioner, with the </w:t>
      </w:r>
      <w:r w:rsidR="005323E8" w:rsidRPr="00C360A6">
        <w:rPr>
          <w:lang w:val="da-DK"/>
        </w:rPr>
        <w:t xml:space="preserve">help </w:t>
      </w:r>
      <w:r w:rsidRPr="00C360A6">
        <w:rPr>
          <w:lang w:val="da-DK"/>
        </w:rPr>
        <w:t xml:space="preserve">of the SVAG will undertake another survey of older Victorians on </w:t>
      </w:r>
      <w:r w:rsidR="00443AFA" w:rsidRPr="00C360A6">
        <w:t>‘</w:t>
      </w:r>
      <w:r w:rsidRPr="00C360A6">
        <w:rPr>
          <w:lang w:val="da-DK"/>
        </w:rPr>
        <w:t>ageing well</w:t>
      </w:r>
      <w:r w:rsidR="00443AFA" w:rsidRPr="00C360A6">
        <w:rPr>
          <w:lang w:val="da-DK"/>
        </w:rPr>
        <w:t>’</w:t>
      </w:r>
      <w:r w:rsidRPr="00C360A6">
        <w:rPr>
          <w:lang w:val="da-DK"/>
        </w:rPr>
        <w:t xml:space="preserve"> in 2022</w:t>
      </w:r>
      <w:r w:rsidR="000E71A1" w:rsidRPr="00C360A6">
        <w:rPr>
          <w:lang w:val="da-DK"/>
        </w:rPr>
        <w:t>. This survey</w:t>
      </w:r>
      <w:r w:rsidRPr="00C360A6">
        <w:rPr>
          <w:lang w:val="da-DK"/>
        </w:rPr>
        <w:t xml:space="preserve"> </w:t>
      </w:r>
      <w:r w:rsidR="000E71A1" w:rsidRPr="00C360A6">
        <w:rPr>
          <w:lang w:val="da-DK"/>
        </w:rPr>
        <w:t>will</w:t>
      </w:r>
      <w:r w:rsidRPr="00C360A6">
        <w:t xml:space="preserve"> identify </w:t>
      </w:r>
      <w:r w:rsidR="000E71A1" w:rsidRPr="00C360A6">
        <w:t xml:space="preserve">more </w:t>
      </w:r>
      <w:r w:rsidRPr="00C360A6">
        <w:t xml:space="preserve">opportunities to improve and support ageing well for all Victorians. The Commissioner will report </w:t>
      </w:r>
      <w:r w:rsidRPr="00C360A6">
        <w:rPr>
          <w:lang w:val="da-DK"/>
        </w:rPr>
        <w:t>on how we are travelling.</w:t>
      </w:r>
    </w:p>
    <w:sectPr w:rsidR="009E6793" w:rsidRPr="0053739A" w:rsidSect="00073DB4">
      <w:headerReference w:type="even" r:id="rId16"/>
      <w:headerReference w:type="default" r:id="rId17"/>
      <w:footerReference w:type="even" r:id="rId18"/>
      <w:footerReference w:type="default" r:id="rId19"/>
      <w:footerReference w:type="first" r:id="rId20"/>
      <w:pgSz w:w="11906" w:h="16838" w:code="9"/>
      <w:pgMar w:top="1418" w:right="1304" w:bottom="851" w:left="1304" w:header="680"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5C6C7" w14:textId="77777777" w:rsidR="009D023F" w:rsidRDefault="009D023F">
      <w:r>
        <w:separator/>
      </w:r>
    </w:p>
    <w:p w14:paraId="08F79258" w14:textId="77777777" w:rsidR="009D023F" w:rsidRDefault="009D023F"/>
  </w:endnote>
  <w:endnote w:type="continuationSeparator" w:id="0">
    <w:p w14:paraId="09CAA6F2" w14:textId="77777777" w:rsidR="009D023F" w:rsidRDefault="009D023F">
      <w:r>
        <w:continuationSeparator/>
      </w:r>
    </w:p>
    <w:p w14:paraId="3E73392D" w14:textId="77777777" w:rsidR="009D023F" w:rsidRDefault="009D023F"/>
  </w:endnote>
  <w:endnote w:type="continuationNotice" w:id="1">
    <w:p w14:paraId="7B577035" w14:textId="77777777" w:rsidR="009D023F" w:rsidRDefault="009D02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Univers 45 Light">
    <w:altName w:val="Calibri"/>
    <w:panose1 w:val="00000000000000000000"/>
    <w:charset w:val="00"/>
    <w:family w:val="swiss"/>
    <w:notTrueType/>
    <w:pitch w:val="variable"/>
    <w:sig w:usb0="800000AF" w:usb1="4000004A" w:usb2="00000000" w:usb3="00000000" w:csb0="00000001" w:csb1="00000000"/>
  </w:font>
  <w:font w:name="Gotham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VIC">
    <w:panose1 w:val="00000500000000000000"/>
    <w:charset w:val="00"/>
    <w:family w:val="auto"/>
    <w:pitch w:val="variable"/>
    <w:sig w:usb0="00000007" w:usb1="00000000" w:usb2="00000000" w:usb3="00000000" w:csb0="00000093" w:csb1="00000000"/>
  </w:font>
  <w:font w:name="Akkurat-Light">
    <w:altName w:val="Yu Gothic"/>
    <w:panose1 w:val="00000000000000000000"/>
    <w:charset w:val="00"/>
    <w:family w:val="auto"/>
    <w:notTrueType/>
    <w:pitch w:val="variable"/>
    <w:sig w:usb0="800000AF" w:usb1="50002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490" w14:textId="753B909D" w:rsidR="00D63636" w:rsidRDefault="00D63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A8D0" w14:textId="11473EA9" w:rsidR="00431A70" w:rsidRDefault="00431A70" w:rsidP="00DC00C1">
    <w:pPr>
      <w:pStyle w:val="Footer"/>
      <w:tabs>
        <w:tab w:val="left" w:pos="366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C078B" w14:textId="44A88D73" w:rsidR="00CE6F7D" w:rsidRDefault="00CE6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A3701" w14:textId="77777777" w:rsidR="009D023F" w:rsidRDefault="009D023F" w:rsidP="00207717">
      <w:pPr>
        <w:spacing w:before="120"/>
      </w:pPr>
      <w:r>
        <w:separator/>
      </w:r>
    </w:p>
  </w:footnote>
  <w:footnote w:type="continuationSeparator" w:id="0">
    <w:p w14:paraId="539750E2" w14:textId="77777777" w:rsidR="009D023F" w:rsidRDefault="009D023F">
      <w:r>
        <w:continuationSeparator/>
      </w:r>
    </w:p>
    <w:p w14:paraId="6F06C564" w14:textId="77777777" w:rsidR="009D023F" w:rsidRDefault="009D023F"/>
  </w:footnote>
  <w:footnote w:type="continuationNotice" w:id="1">
    <w:p w14:paraId="403965D0" w14:textId="77777777" w:rsidR="009D023F" w:rsidRDefault="009D023F">
      <w:pPr>
        <w:spacing w:after="0" w:line="240" w:lineRule="auto"/>
      </w:pPr>
    </w:p>
  </w:footnote>
  <w:footnote w:id="2">
    <w:p w14:paraId="212BAFCD" w14:textId="72782770" w:rsidR="009E6793" w:rsidRDefault="009E6793" w:rsidP="008C5F97">
      <w:pPr>
        <w:pStyle w:val="FootnoteText"/>
      </w:pPr>
      <w:r>
        <w:rPr>
          <w:rStyle w:val="FootnoteReference"/>
        </w:rPr>
        <w:footnoteRef/>
      </w:r>
      <w:r>
        <w:t xml:space="preserve"> </w:t>
      </w:r>
      <w:r w:rsidRPr="008B21BF">
        <w:t xml:space="preserve">This section uses unpublished Victorian Government Projections </w:t>
      </w:r>
      <w:r w:rsidR="003C0CE3">
        <w:t>(</w:t>
      </w:r>
      <w:r w:rsidRPr="008B21BF">
        <w:t>2021</w:t>
      </w:r>
      <w:r w:rsidR="003C0CE3">
        <w:t>)</w:t>
      </w:r>
      <w:r w:rsidRPr="008B21BF">
        <w:t xml:space="preserve"> unless otherwise stated. These </w:t>
      </w:r>
      <w:r w:rsidR="003C0CE3">
        <w:t>figures</w:t>
      </w:r>
      <w:r w:rsidR="003C0CE3" w:rsidRPr="008B21BF">
        <w:t xml:space="preserve"> </w:t>
      </w:r>
      <w:r w:rsidR="003C0CE3">
        <w:t>are</w:t>
      </w:r>
      <w:r w:rsidRPr="008B21BF">
        <w:t xml:space="preserve"> supplied by the Department of Environment, Land, Water and Planning (DELWP)</w:t>
      </w:r>
      <w:r w:rsidR="003C0CE3">
        <w:t>. They</w:t>
      </w:r>
      <w:r w:rsidRPr="008B21BF">
        <w:t xml:space="preserve"> are based on unpublished internal modelling. DELWP is the agency responsible for develop</w:t>
      </w:r>
      <w:r w:rsidR="003C0CE3">
        <w:t>ing</w:t>
      </w:r>
      <w:r w:rsidRPr="008B21BF">
        <w:t xml:space="preserve"> the official state government population projections</w:t>
      </w:r>
      <w:r w:rsidR="003C0CE3">
        <w:t>. These</w:t>
      </w:r>
      <w:r w:rsidRPr="008B21BF">
        <w:t xml:space="preserve"> </w:t>
      </w:r>
      <w:r w:rsidR="003C0CE3">
        <w:t xml:space="preserve">include </w:t>
      </w:r>
      <w:r w:rsidRPr="008B21BF">
        <w:t xml:space="preserve">the latest population estimates, evidence form the latest </w:t>
      </w:r>
      <w:r w:rsidR="003C0CE3">
        <w:t>C</w:t>
      </w:r>
      <w:r w:rsidRPr="008B21BF">
        <w:t xml:space="preserve">ensus plus assumptions </w:t>
      </w:r>
      <w:r w:rsidR="003C0CE3">
        <w:t>about</w:t>
      </w:r>
      <w:r w:rsidR="003C0CE3" w:rsidRPr="008B21BF">
        <w:t xml:space="preserve"> </w:t>
      </w:r>
      <w:r w:rsidRPr="008B21BF">
        <w:t xml:space="preserve">future births, deaths, </w:t>
      </w:r>
      <w:proofErr w:type="gramStart"/>
      <w:r w:rsidRPr="008B21BF">
        <w:t>migration</w:t>
      </w:r>
      <w:proofErr w:type="gramEnd"/>
      <w:r w:rsidRPr="008B21BF">
        <w:t xml:space="preserve"> and local development trends.</w:t>
      </w:r>
    </w:p>
  </w:footnote>
  <w:footnote w:id="3">
    <w:p w14:paraId="49471737" w14:textId="689AB205" w:rsidR="009E6793" w:rsidRDefault="009E6793" w:rsidP="009E6793">
      <w:pPr>
        <w:pStyle w:val="FootnoteText"/>
      </w:pPr>
      <w:r>
        <w:rPr>
          <w:rStyle w:val="FootnoteReference"/>
        </w:rPr>
        <w:footnoteRef/>
      </w:r>
      <w:r>
        <w:t xml:space="preserve"> </w:t>
      </w:r>
      <w:r w:rsidRPr="008B21BF">
        <w:t>All 2016 data are from the ABS Census of Population and Housing (2016)</w:t>
      </w:r>
      <w:r w:rsidR="003C0CE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A3E9" w14:textId="31B1B8A9" w:rsidR="00562811" w:rsidRPr="001C7128" w:rsidRDefault="00A37200" w:rsidP="001C7128">
    <w:pPr>
      <w:pStyle w:val="Header"/>
    </w:pPr>
    <w:r w:rsidRPr="00A37200">
      <w:t xml:space="preserve">Ageing well in Victoria: an action plan for strengthening wellbeing for senior Victorians </w:t>
    </w:r>
    <w:r w:rsidR="00014F5C">
      <w:br/>
    </w:r>
    <w:r w:rsidRPr="00A37200">
      <w:t>2022–2026</w:t>
    </w:r>
    <w:r w:rsidR="00C360A6">
      <w:t xml:space="preserve"> (accessible)</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475B32F7"/>
    <w:multiLevelType w:val="hybridMultilevel"/>
    <w:tmpl w:val="3A540AE0"/>
    <w:lvl w:ilvl="0" w:tplc="A9349AE2">
      <w:start w:val="1"/>
      <w:numFmt w:val="decimal"/>
      <w:lvlText w:val="%1."/>
      <w:lvlJc w:val="left"/>
      <w:pPr>
        <w:ind w:left="426" w:hanging="360"/>
      </w:pPr>
      <w:rPr>
        <w:rFonts w:hint="default"/>
        <w:b/>
      </w:rPr>
    </w:lvl>
    <w:lvl w:ilvl="1" w:tplc="0C090019" w:tentative="1">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4"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7FD44514"/>
    <w:multiLevelType w:val="multilevel"/>
    <w:tmpl w:val="3E300802"/>
    <w:lvl w:ilvl="0">
      <w:start w:val="1"/>
      <w:numFmt w:val="lowerLetter"/>
      <w:pStyle w:val="Listnum"/>
      <w:lvlText w:val="(%1)"/>
      <w:lvlJc w:val="left"/>
      <w:pPr>
        <w:tabs>
          <w:tab w:val="num" w:pos="142"/>
        </w:tabs>
        <w:ind w:left="142" w:hanging="360"/>
      </w:pPr>
      <w:rPr>
        <w:rFonts w:hint="default"/>
      </w:rPr>
    </w:lvl>
    <w:lvl w:ilvl="1">
      <w:start w:val="1"/>
      <w:numFmt w:val="lowerRoman"/>
      <w:pStyle w:val="Listnum2"/>
      <w:lvlText w:val="(%2)"/>
      <w:lvlJc w:val="left"/>
      <w:pPr>
        <w:tabs>
          <w:tab w:val="num" w:pos="646"/>
        </w:tabs>
        <w:ind w:left="502" w:hanging="360"/>
      </w:pPr>
      <w:rPr>
        <w:rFonts w:hint="default"/>
      </w:rPr>
    </w:lvl>
    <w:lvl w:ilvl="2">
      <w:start w:val="1"/>
      <w:numFmt w:val="decimal"/>
      <w:pStyle w:val="Heading1numbered"/>
      <w:lvlText w:val="%3."/>
      <w:lvlJc w:val="left"/>
      <w:pPr>
        <w:tabs>
          <w:tab w:val="num" w:pos="574"/>
        </w:tabs>
        <w:ind w:left="574" w:hanging="792"/>
      </w:pPr>
      <w:rPr>
        <w:rFonts w:hint="default"/>
      </w:rPr>
    </w:lvl>
    <w:lvl w:ilvl="3">
      <w:start w:val="1"/>
      <w:numFmt w:val="decimal"/>
      <w:pStyle w:val="Heading2numbered"/>
      <w:lvlText w:val="%3.%4"/>
      <w:lvlJc w:val="left"/>
      <w:pPr>
        <w:tabs>
          <w:tab w:val="num" w:pos="574"/>
        </w:tabs>
        <w:ind w:left="574" w:hanging="792"/>
      </w:pPr>
      <w:rPr>
        <w:rFonts w:hint="default"/>
      </w:rPr>
    </w:lvl>
    <w:lvl w:ilvl="4">
      <w:start w:val="1"/>
      <w:numFmt w:val="decimal"/>
      <w:lvlRestart w:val="1"/>
      <w:pStyle w:val="Heading3numbered"/>
      <w:lvlText w:val="%3.%4.%5"/>
      <w:lvlJc w:val="left"/>
      <w:pPr>
        <w:tabs>
          <w:tab w:val="num" w:pos="4260"/>
        </w:tabs>
        <w:ind w:left="4260" w:hanging="792"/>
      </w:pPr>
      <w:rPr>
        <w:rFonts w:hint="default"/>
      </w:rPr>
    </w:lvl>
    <w:lvl w:ilvl="5">
      <w:start w:val="1"/>
      <w:numFmt w:val="decimal"/>
      <w:pStyle w:val="Heading4numbered"/>
      <w:lvlText w:val="%3.%4.%5.%6"/>
      <w:lvlJc w:val="left"/>
      <w:pPr>
        <w:tabs>
          <w:tab w:val="num" w:pos="574"/>
        </w:tabs>
        <w:ind w:left="574" w:hanging="792"/>
      </w:pPr>
      <w:rPr>
        <w:rFonts w:hint="default"/>
      </w:rPr>
    </w:lvl>
    <w:lvl w:ilvl="6">
      <w:start w:val="1"/>
      <w:numFmt w:val="lowerLetter"/>
      <w:pStyle w:val="Listnumindent"/>
      <w:lvlText w:val="(%7)"/>
      <w:lvlJc w:val="left"/>
      <w:pPr>
        <w:tabs>
          <w:tab w:val="num" w:pos="1078"/>
        </w:tabs>
        <w:ind w:left="1078" w:hanging="504"/>
      </w:pPr>
      <w:rPr>
        <w:rFonts w:hint="default"/>
      </w:rPr>
    </w:lvl>
    <w:lvl w:ilvl="7">
      <w:start w:val="1"/>
      <w:numFmt w:val="lowerRoman"/>
      <w:pStyle w:val="Listnumindent2"/>
      <w:lvlText w:val="(%8)"/>
      <w:lvlJc w:val="left"/>
      <w:pPr>
        <w:tabs>
          <w:tab w:val="num" w:pos="1582"/>
        </w:tabs>
        <w:ind w:left="1582" w:hanging="504"/>
      </w:pPr>
      <w:rPr>
        <w:rFonts w:hint="default"/>
      </w:rPr>
    </w:lvl>
    <w:lvl w:ilvl="8">
      <w:start w:val="1"/>
      <w:numFmt w:val="decimal"/>
      <w:pStyle w:val="Numparaindent"/>
      <w:lvlText w:val="%9."/>
      <w:lvlJc w:val="left"/>
      <w:pPr>
        <w:tabs>
          <w:tab w:val="num" w:pos="1078"/>
        </w:tabs>
        <w:ind w:left="1078" w:hanging="504"/>
      </w:pPr>
      <w:rPr>
        <w:rFonts w:hint="default"/>
      </w:rPr>
    </w:lvl>
  </w:abstractNum>
  <w:num w:numId="1">
    <w:abstractNumId w:val="1"/>
  </w:num>
  <w:num w:numId="2">
    <w:abstractNumId w:val="5"/>
  </w:num>
  <w:num w:numId="3">
    <w:abstractNumId w:val="4"/>
  </w:num>
  <w:num w:numId="4">
    <w:abstractNumId w:val="6"/>
  </w:num>
  <w:num w:numId="5">
    <w:abstractNumId w:val="2"/>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9D4"/>
    <w:rsid w:val="00002D68"/>
    <w:rsid w:val="000033F7"/>
    <w:rsid w:val="00003403"/>
    <w:rsid w:val="0000440B"/>
    <w:rsid w:val="00005347"/>
    <w:rsid w:val="00005D5E"/>
    <w:rsid w:val="0000715C"/>
    <w:rsid w:val="000072B6"/>
    <w:rsid w:val="0001021B"/>
    <w:rsid w:val="00011AF8"/>
    <w:rsid w:val="00011D89"/>
    <w:rsid w:val="00014F5C"/>
    <w:rsid w:val="000154FD"/>
    <w:rsid w:val="0001639F"/>
    <w:rsid w:val="00020678"/>
    <w:rsid w:val="00022271"/>
    <w:rsid w:val="000235E8"/>
    <w:rsid w:val="000249BF"/>
    <w:rsid w:val="00024D89"/>
    <w:rsid w:val="000250B6"/>
    <w:rsid w:val="00032DD0"/>
    <w:rsid w:val="00033D81"/>
    <w:rsid w:val="00033DC9"/>
    <w:rsid w:val="00037366"/>
    <w:rsid w:val="00041BF0"/>
    <w:rsid w:val="00042C8A"/>
    <w:rsid w:val="0004536B"/>
    <w:rsid w:val="00046B68"/>
    <w:rsid w:val="000527DD"/>
    <w:rsid w:val="00056EC4"/>
    <w:rsid w:val="0005721B"/>
    <w:rsid w:val="000578B2"/>
    <w:rsid w:val="00060959"/>
    <w:rsid w:val="00060C8F"/>
    <w:rsid w:val="000611E9"/>
    <w:rsid w:val="000628F8"/>
    <w:rsid w:val="0006298A"/>
    <w:rsid w:val="000663CD"/>
    <w:rsid w:val="0006713E"/>
    <w:rsid w:val="000733FE"/>
    <w:rsid w:val="00073DB4"/>
    <w:rsid w:val="00074219"/>
    <w:rsid w:val="00074ED5"/>
    <w:rsid w:val="0008170F"/>
    <w:rsid w:val="0008204A"/>
    <w:rsid w:val="0008508E"/>
    <w:rsid w:val="00087951"/>
    <w:rsid w:val="0009113B"/>
    <w:rsid w:val="00093402"/>
    <w:rsid w:val="000939ED"/>
    <w:rsid w:val="00094DA3"/>
    <w:rsid w:val="00096CD1"/>
    <w:rsid w:val="000A012C"/>
    <w:rsid w:val="000A0EB9"/>
    <w:rsid w:val="000A128C"/>
    <w:rsid w:val="000A186C"/>
    <w:rsid w:val="000A1EA4"/>
    <w:rsid w:val="000A2476"/>
    <w:rsid w:val="000A641A"/>
    <w:rsid w:val="000A7F63"/>
    <w:rsid w:val="000B26EC"/>
    <w:rsid w:val="000B3EDB"/>
    <w:rsid w:val="000B543D"/>
    <w:rsid w:val="000B55F9"/>
    <w:rsid w:val="000B5BF7"/>
    <w:rsid w:val="000B6BC8"/>
    <w:rsid w:val="000C0303"/>
    <w:rsid w:val="000C42EA"/>
    <w:rsid w:val="000C4546"/>
    <w:rsid w:val="000C5B56"/>
    <w:rsid w:val="000D02EC"/>
    <w:rsid w:val="000D0E29"/>
    <w:rsid w:val="000D1242"/>
    <w:rsid w:val="000D2ABA"/>
    <w:rsid w:val="000E0970"/>
    <w:rsid w:val="000E0DE2"/>
    <w:rsid w:val="000E2FAF"/>
    <w:rsid w:val="000E3CC7"/>
    <w:rsid w:val="000E6BD4"/>
    <w:rsid w:val="000E6D6D"/>
    <w:rsid w:val="000E704A"/>
    <w:rsid w:val="000E71A1"/>
    <w:rsid w:val="000F1F1E"/>
    <w:rsid w:val="000F2259"/>
    <w:rsid w:val="000F2DDA"/>
    <w:rsid w:val="000F2EA0"/>
    <w:rsid w:val="000F514D"/>
    <w:rsid w:val="000F5213"/>
    <w:rsid w:val="001000EF"/>
    <w:rsid w:val="00101001"/>
    <w:rsid w:val="00103276"/>
    <w:rsid w:val="0010392D"/>
    <w:rsid w:val="0010447F"/>
    <w:rsid w:val="00104FE3"/>
    <w:rsid w:val="00105C2B"/>
    <w:rsid w:val="0010714F"/>
    <w:rsid w:val="001120C5"/>
    <w:rsid w:val="001132DF"/>
    <w:rsid w:val="00120BD3"/>
    <w:rsid w:val="00121F42"/>
    <w:rsid w:val="00122FEA"/>
    <w:rsid w:val="001232BD"/>
    <w:rsid w:val="00124ED5"/>
    <w:rsid w:val="0012578F"/>
    <w:rsid w:val="001276FA"/>
    <w:rsid w:val="00140BE9"/>
    <w:rsid w:val="00141FBF"/>
    <w:rsid w:val="00142A64"/>
    <w:rsid w:val="001447B3"/>
    <w:rsid w:val="0015190A"/>
    <w:rsid w:val="00152073"/>
    <w:rsid w:val="00152329"/>
    <w:rsid w:val="001547EE"/>
    <w:rsid w:val="00154DDD"/>
    <w:rsid w:val="00156598"/>
    <w:rsid w:val="0016047E"/>
    <w:rsid w:val="00161939"/>
    <w:rsid w:val="00161AA0"/>
    <w:rsid w:val="00161D2E"/>
    <w:rsid w:val="00161F3E"/>
    <w:rsid w:val="00162093"/>
    <w:rsid w:val="00162CA9"/>
    <w:rsid w:val="00165459"/>
    <w:rsid w:val="00165A57"/>
    <w:rsid w:val="001708A9"/>
    <w:rsid w:val="001712C2"/>
    <w:rsid w:val="00172BAF"/>
    <w:rsid w:val="00172ED0"/>
    <w:rsid w:val="00174BDA"/>
    <w:rsid w:val="0017674D"/>
    <w:rsid w:val="001771DD"/>
    <w:rsid w:val="00177647"/>
    <w:rsid w:val="00177995"/>
    <w:rsid w:val="00177A8C"/>
    <w:rsid w:val="0018244E"/>
    <w:rsid w:val="00182E06"/>
    <w:rsid w:val="00183356"/>
    <w:rsid w:val="00186B33"/>
    <w:rsid w:val="00191A0B"/>
    <w:rsid w:val="00192F9D"/>
    <w:rsid w:val="00196EB8"/>
    <w:rsid w:val="00196EFB"/>
    <w:rsid w:val="001979FF"/>
    <w:rsid w:val="00197B17"/>
    <w:rsid w:val="001A1086"/>
    <w:rsid w:val="001A1950"/>
    <w:rsid w:val="001A1C54"/>
    <w:rsid w:val="001A2238"/>
    <w:rsid w:val="001A3ACE"/>
    <w:rsid w:val="001A6272"/>
    <w:rsid w:val="001B058F"/>
    <w:rsid w:val="001B6B96"/>
    <w:rsid w:val="001B738B"/>
    <w:rsid w:val="001B7733"/>
    <w:rsid w:val="001C09DB"/>
    <w:rsid w:val="001C277E"/>
    <w:rsid w:val="001C2A72"/>
    <w:rsid w:val="001C31B7"/>
    <w:rsid w:val="001C7128"/>
    <w:rsid w:val="001D0B75"/>
    <w:rsid w:val="001D39A5"/>
    <w:rsid w:val="001D3C09"/>
    <w:rsid w:val="001D44E8"/>
    <w:rsid w:val="001D5B14"/>
    <w:rsid w:val="001D60EC"/>
    <w:rsid w:val="001D6F59"/>
    <w:rsid w:val="001E1221"/>
    <w:rsid w:val="001E44DF"/>
    <w:rsid w:val="001E573B"/>
    <w:rsid w:val="001E68A5"/>
    <w:rsid w:val="001E6BB0"/>
    <w:rsid w:val="001E7282"/>
    <w:rsid w:val="001E7CE9"/>
    <w:rsid w:val="001F334B"/>
    <w:rsid w:val="001F3826"/>
    <w:rsid w:val="001F6E46"/>
    <w:rsid w:val="001F7C91"/>
    <w:rsid w:val="002014A1"/>
    <w:rsid w:val="002033B7"/>
    <w:rsid w:val="00205796"/>
    <w:rsid w:val="00206463"/>
    <w:rsid w:val="00206F2F"/>
    <w:rsid w:val="00207717"/>
    <w:rsid w:val="0021053D"/>
    <w:rsid w:val="00210A92"/>
    <w:rsid w:val="00212B95"/>
    <w:rsid w:val="0021430C"/>
    <w:rsid w:val="00214B3C"/>
    <w:rsid w:val="00215CC8"/>
    <w:rsid w:val="00216C03"/>
    <w:rsid w:val="00220A1A"/>
    <w:rsid w:val="00220C04"/>
    <w:rsid w:val="0022278D"/>
    <w:rsid w:val="0022701F"/>
    <w:rsid w:val="00227C68"/>
    <w:rsid w:val="00231295"/>
    <w:rsid w:val="002333F5"/>
    <w:rsid w:val="00233724"/>
    <w:rsid w:val="00234E79"/>
    <w:rsid w:val="002365B4"/>
    <w:rsid w:val="00241D7A"/>
    <w:rsid w:val="002432E1"/>
    <w:rsid w:val="00246207"/>
    <w:rsid w:val="00246C5E"/>
    <w:rsid w:val="00250960"/>
    <w:rsid w:val="00251343"/>
    <w:rsid w:val="00251580"/>
    <w:rsid w:val="002536A4"/>
    <w:rsid w:val="00253A3E"/>
    <w:rsid w:val="00254AC7"/>
    <w:rsid w:val="00254F58"/>
    <w:rsid w:val="002600BD"/>
    <w:rsid w:val="002620BC"/>
    <w:rsid w:val="00262802"/>
    <w:rsid w:val="00263A90"/>
    <w:rsid w:val="0026408B"/>
    <w:rsid w:val="00267C3E"/>
    <w:rsid w:val="002709BB"/>
    <w:rsid w:val="0027131C"/>
    <w:rsid w:val="00272AC4"/>
    <w:rsid w:val="00273BAC"/>
    <w:rsid w:val="002763B3"/>
    <w:rsid w:val="002802E3"/>
    <w:rsid w:val="00281A0E"/>
    <w:rsid w:val="0028213D"/>
    <w:rsid w:val="00282A7F"/>
    <w:rsid w:val="002862F1"/>
    <w:rsid w:val="002872BC"/>
    <w:rsid w:val="00290B19"/>
    <w:rsid w:val="00291373"/>
    <w:rsid w:val="00294984"/>
    <w:rsid w:val="0029597D"/>
    <w:rsid w:val="002962C3"/>
    <w:rsid w:val="0029752B"/>
    <w:rsid w:val="002975E7"/>
    <w:rsid w:val="002A0A9C"/>
    <w:rsid w:val="002A483C"/>
    <w:rsid w:val="002B0C7C"/>
    <w:rsid w:val="002B1202"/>
    <w:rsid w:val="002B1729"/>
    <w:rsid w:val="002B36C7"/>
    <w:rsid w:val="002B4DD4"/>
    <w:rsid w:val="002B5277"/>
    <w:rsid w:val="002B5375"/>
    <w:rsid w:val="002B77C1"/>
    <w:rsid w:val="002C0ED7"/>
    <w:rsid w:val="002C18EF"/>
    <w:rsid w:val="002C2728"/>
    <w:rsid w:val="002C3C3D"/>
    <w:rsid w:val="002C5B7C"/>
    <w:rsid w:val="002C5FD7"/>
    <w:rsid w:val="002D1E0D"/>
    <w:rsid w:val="002D2A74"/>
    <w:rsid w:val="002D4494"/>
    <w:rsid w:val="002D5006"/>
    <w:rsid w:val="002D7C61"/>
    <w:rsid w:val="002E01D0"/>
    <w:rsid w:val="002E161D"/>
    <w:rsid w:val="002E28A2"/>
    <w:rsid w:val="002E3100"/>
    <w:rsid w:val="002E6C95"/>
    <w:rsid w:val="002E7C36"/>
    <w:rsid w:val="002F36E2"/>
    <w:rsid w:val="002F3D32"/>
    <w:rsid w:val="002F5338"/>
    <w:rsid w:val="002F5F31"/>
    <w:rsid w:val="002F5F46"/>
    <w:rsid w:val="00302216"/>
    <w:rsid w:val="00303E53"/>
    <w:rsid w:val="00305CC1"/>
    <w:rsid w:val="00306E5F"/>
    <w:rsid w:val="00307E14"/>
    <w:rsid w:val="003122D9"/>
    <w:rsid w:val="00314054"/>
    <w:rsid w:val="00316F27"/>
    <w:rsid w:val="003175C7"/>
    <w:rsid w:val="00317751"/>
    <w:rsid w:val="003214F1"/>
    <w:rsid w:val="00322E4B"/>
    <w:rsid w:val="00327870"/>
    <w:rsid w:val="0032791F"/>
    <w:rsid w:val="00330162"/>
    <w:rsid w:val="00330593"/>
    <w:rsid w:val="0033259D"/>
    <w:rsid w:val="003333D2"/>
    <w:rsid w:val="00334686"/>
    <w:rsid w:val="00334C30"/>
    <w:rsid w:val="003352EB"/>
    <w:rsid w:val="00337339"/>
    <w:rsid w:val="00340345"/>
    <w:rsid w:val="003406C6"/>
    <w:rsid w:val="003418CC"/>
    <w:rsid w:val="003434EE"/>
    <w:rsid w:val="00343617"/>
    <w:rsid w:val="00344E07"/>
    <w:rsid w:val="003459BD"/>
    <w:rsid w:val="00345EEB"/>
    <w:rsid w:val="00350D38"/>
    <w:rsid w:val="00351B36"/>
    <w:rsid w:val="00353836"/>
    <w:rsid w:val="003574FD"/>
    <w:rsid w:val="00357B4E"/>
    <w:rsid w:val="00361BB7"/>
    <w:rsid w:val="003712E2"/>
    <w:rsid w:val="003716FD"/>
    <w:rsid w:val="0037204B"/>
    <w:rsid w:val="003725D7"/>
    <w:rsid w:val="00373AF0"/>
    <w:rsid w:val="00373C87"/>
    <w:rsid w:val="003744CF"/>
    <w:rsid w:val="00374717"/>
    <w:rsid w:val="003751E1"/>
    <w:rsid w:val="003752A2"/>
    <w:rsid w:val="0037676C"/>
    <w:rsid w:val="00381043"/>
    <w:rsid w:val="003829E5"/>
    <w:rsid w:val="00386109"/>
    <w:rsid w:val="00386944"/>
    <w:rsid w:val="00386981"/>
    <w:rsid w:val="003879A0"/>
    <w:rsid w:val="00391FCD"/>
    <w:rsid w:val="003956CC"/>
    <w:rsid w:val="00395C9A"/>
    <w:rsid w:val="003A0853"/>
    <w:rsid w:val="003A0B59"/>
    <w:rsid w:val="003A17F3"/>
    <w:rsid w:val="003A6B67"/>
    <w:rsid w:val="003B13B6"/>
    <w:rsid w:val="003B14C3"/>
    <w:rsid w:val="003B15E6"/>
    <w:rsid w:val="003B22EF"/>
    <w:rsid w:val="003B408A"/>
    <w:rsid w:val="003B5625"/>
    <w:rsid w:val="003B6BE1"/>
    <w:rsid w:val="003C08A2"/>
    <w:rsid w:val="003C0CE3"/>
    <w:rsid w:val="003C2045"/>
    <w:rsid w:val="003C43A1"/>
    <w:rsid w:val="003C4FC0"/>
    <w:rsid w:val="003C55F4"/>
    <w:rsid w:val="003C692C"/>
    <w:rsid w:val="003C6C48"/>
    <w:rsid w:val="003C7897"/>
    <w:rsid w:val="003C7A3F"/>
    <w:rsid w:val="003D2766"/>
    <w:rsid w:val="003D2A74"/>
    <w:rsid w:val="003D3D88"/>
    <w:rsid w:val="003D3E8F"/>
    <w:rsid w:val="003D6475"/>
    <w:rsid w:val="003D6EE6"/>
    <w:rsid w:val="003D7F3E"/>
    <w:rsid w:val="003E2AAB"/>
    <w:rsid w:val="003E375C"/>
    <w:rsid w:val="003E37C5"/>
    <w:rsid w:val="003E4086"/>
    <w:rsid w:val="003E639E"/>
    <w:rsid w:val="003E6894"/>
    <w:rsid w:val="003E71E5"/>
    <w:rsid w:val="003E7469"/>
    <w:rsid w:val="003F0445"/>
    <w:rsid w:val="003F0A08"/>
    <w:rsid w:val="003F0CF0"/>
    <w:rsid w:val="003F14B1"/>
    <w:rsid w:val="003F2B20"/>
    <w:rsid w:val="003F3289"/>
    <w:rsid w:val="003F3C62"/>
    <w:rsid w:val="003F5815"/>
    <w:rsid w:val="003F5CB9"/>
    <w:rsid w:val="003F7293"/>
    <w:rsid w:val="004013C7"/>
    <w:rsid w:val="00401FCF"/>
    <w:rsid w:val="00403AB4"/>
    <w:rsid w:val="00404E2A"/>
    <w:rsid w:val="00406285"/>
    <w:rsid w:val="004079DD"/>
    <w:rsid w:val="004115A2"/>
    <w:rsid w:val="004148F9"/>
    <w:rsid w:val="00417BF4"/>
    <w:rsid w:val="0042084E"/>
    <w:rsid w:val="00421EEF"/>
    <w:rsid w:val="00424D65"/>
    <w:rsid w:val="0042526D"/>
    <w:rsid w:val="00426005"/>
    <w:rsid w:val="0042639E"/>
    <w:rsid w:val="00430393"/>
    <w:rsid w:val="00431806"/>
    <w:rsid w:val="00431A70"/>
    <w:rsid w:val="00431F42"/>
    <w:rsid w:val="00434635"/>
    <w:rsid w:val="00442C6C"/>
    <w:rsid w:val="00443AFA"/>
    <w:rsid w:val="00443CBE"/>
    <w:rsid w:val="00443E8A"/>
    <w:rsid w:val="004441BC"/>
    <w:rsid w:val="00444D04"/>
    <w:rsid w:val="00445356"/>
    <w:rsid w:val="004468B4"/>
    <w:rsid w:val="00446D86"/>
    <w:rsid w:val="00447394"/>
    <w:rsid w:val="00447F5A"/>
    <w:rsid w:val="0045230A"/>
    <w:rsid w:val="0045352B"/>
    <w:rsid w:val="00454AD0"/>
    <w:rsid w:val="00457337"/>
    <w:rsid w:val="00462E3D"/>
    <w:rsid w:val="004638B6"/>
    <w:rsid w:val="00466E79"/>
    <w:rsid w:val="00470C39"/>
    <w:rsid w:val="00470D7D"/>
    <w:rsid w:val="00472DEC"/>
    <w:rsid w:val="0047372D"/>
    <w:rsid w:val="00473967"/>
    <w:rsid w:val="00473BA3"/>
    <w:rsid w:val="004743DD"/>
    <w:rsid w:val="00474CEA"/>
    <w:rsid w:val="00474F5E"/>
    <w:rsid w:val="00483968"/>
    <w:rsid w:val="004841BE"/>
    <w:rsid w:val="00484F86"/>
    <w:rsid w:val="00490746"/>
    <w:rsid w:val="00490852"/>
    <w:rsid w:val="00491C9C"/>
    <w:rsid w:val="00492F30"/>
    <w:rsid w:val="004946F4"/>
    <w:rsid w:val="0049487E"/>
    <w:rsid w:val="004A160D"/>
    <w:rsid w:val="004A3188"/>
    <w:rsid w:val="004A3E81"/>
    <w:rsid w:val="004A4195"/>
    <w:rsid w:val="004A469A"/>
    <w:rsid w:val="004A5C62"/>
    <w:rsid w:val="004A5CE5"/>
    <w:rsid w:val="004A5F6D"/>
    <w:rsid w:val="004A707D"/>
    <w:rsid w:val="004B023D"/>
    <w:rsid w:val="004B0974"/>
    <w:rsid w:val="004B2153"/>
    <w:rsid w:val="004B235C"/>
    <w:rsid w:val="004B4185"/>
    <w:rsid w:val="004B5986"/>
    <w:rsid w:val="004C014B"/>
    <w:rsid w:val="004C4301"/>
    <w:rsid w:val="004C5541"/>
    <w:rsid w:val="004C645F"/>
    <w:rsid w:val="004C6551"/>
    <w:rsid w:val="004C6EEE"/>
    <w:rsid w:val="004C702B"/>
    <w:rsid w:val="004D0033"/>
    <w:rsid w:val="004D016B"/>
    <w:rsid w:val="004D1B22"/>
    <w:rsid w:val="004D23CC"/>
    <w:rsid w:val="004D36F2"/>
    <w:rsid w:val="004D4375"/>
    <w:rsid w:val="004D63E6"/>
    <w:rsid w:val="004D6DC0"/>
    <w:rsid w:val="004E0435"/>
    <w:rsid w:val="004E1106"/>
    <w:rsid w:val="004E138F"/>
    <w:rsid w:val="004E1F92"/>
    <w:rsid w:val="004E4649"/>
    <w:rsid w:val="004E522B"/>
    <w:rsid w:val="004E5C2B"/>
    <w:rsid w:val="004E77E8"/>
    <w:rsid w:val="004F00DD"/>
    <w:rsid w:val="004F2133"/>
    <w:rsid w:val="004F37ED"/>
    <w:rsid w:val="004F4EFB"/>
    <w:rsid w:val="004F5398"/>
    <w:rsid w:val="004F55F1"/>
    <w:rsid w:val="004F6936"/>
    <w:rsid w:val="004F70E0"/>
    <w:rsid w:val="00503DC6"/>
    <w:rsid w:val="00506332"/>
    <w:rsid w:val="00506F5D"/>
    <w:rsid w:val="0051082E"/>
    <w:rsid w:val="00510C37"/>
    <w:rsid w:val="005126D0"/>
    <w:rsid w:val="00514667"/>
    <w:rsid w:val="00514914"/>
    <w:rsid w:val="0051568D"/>
    <w:rsid w:val="00517B6A"/>
    <w:rsid w:val="00520D62"/>
    <w:rsid w:val="00523C6A"/>
    <w:rsid w:val="0052498F"/>
    <w:rsid w:val="00526AC7"/>
    <w:rsid w:val="00526C15"/>
    <w:rsid w:val="00527815"/>
    <w:rsid w:val="00527F34"/>
    <w:rsid w:val="005323E8"/>
    <w:rsid w:val="00536499"/>
    <w:rsid w:val="00536CF4"/>
    <w:rsid w:val="0053739A"/>
    <w:rsid w:val="005405EF"/>
    <w:rsid w:val="00542A03"/>
    <w:rsid w:val="00543903"/>
    <w:rsid w:val="00543BCC"/>
    <w:rsid w:val="00543F11"/>
    <w:rsid w:val="00546305"/>
    <w:rsid w:val="00547A95"/>
    <w:rsid w:val="0055119B"/>
    <w:rsid w:val="00561202"/>
    <w:rsid w:val="00562507"/>
    <w:rsid w:val="00562811"/>
    <w:rsid w:val="00563B3F"/>
    <w:rsid w:val="00570518"/>
    <w:rsid w:val="00572031"/>
    <w:rsid w:val="00572282"/>
    <w:rsid w:val="00573CE3"/>
    <w:rsid w:val="00574807"/>
    <w:rsid w:val="00576E84"/>
    <w:rsid w:val="00580394"/>
    <w:rsid w:val="005809CD"/>
    <w:rsid w:val="00582B8C"/>
    <w:rsid w:val="0058757E"/>
    <w:rsid w:val="005907E8"/>
    <w:rsid w:val="00596A4B"/>
    <w:rsid w:val="00597507"/>
    <w:rsid w:val="00597520"/>
    <w:rsid w:val="005A479D"/>
    <w:rsid w:val="005B1C6D"/>
    <w:rsid w:val="005B21B6"/>
    <w:rsid w:val="005B2F16"/>
    <w:rsid w:val="005B3A08"/>
    <w:rsid w:val="005B59C7"/>
    <w:rsid w:val="005B6AB9"/>
    <w:rsid w:val="005B7A63"/>
    <w:rsid w:val="005C0955"/>
    <w:rsid w:val="005C3DB7"/>
    <w:rsid w:val="005C49DA"/>
    <w:rsid w:val="005C50F3"/>
    <w:rsid w:val="005C54B5"/>
    <w:rsid w:val="005C5D80"/>
    <w:rsid w:val="005C5D91"/>
    <w:rsid w:val="005D07B8"/>
    <w:rsid w:val="005D4E62"/>
    <w:rsid w:val="005D6597"/>
    <w:rsid w:val="005E096D"/>
    <w:rsid w:val="005E14E7"/>
    <w:rsid w:val="005E193A"/>
    <w:rsid w:val="005E26A3"/>
    <w:rsid w:val="005E2ECB"/>
    <w:rsid w:val="005E447E"/>
    <w:rsid w:val="005E4FD1"/>
    <w:rsid w:val="005E5607"/>
    <w:rsid w:val="005E64A7"/>
    <w:rsid w:val="005E7BDB"/>
    <w:rsid w:val="005F0775"/>
    <w:rsid w:val="005F07C6"/>
    <w:rsid w:val="005F0CF5"/>
    <w:rsid w:val="005F21EB"/>
    <w:rsid w:val="005F4C5D"/>
    <w:rsid w:val="005F64CF"/>
    <w:rsid w:val="005F79B2"/>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25D4"/>
    <w:rsid w:val="00634D13"/>
    <w:rsid w:val="006358B4"/>
    <w:rsid w:val="00635E1E"/>
    <w:rsid w:val="0063779E"/>
    <w:rsid w:val="00641724"/>
    <w:rsid w:val="006419AA"/>
    <w:rsid w:val="0064262D"/>
    <w:rsid w:val="00644B1F"/>
    <w:rsid w:val="00644B7E"/>
    <w:rsid w:val="006454E6"/>
    <w:rsid w:val="00646235"/>
    <w:rsid w:val="00646A68"/>
    <w:rsid w:val="006505BD"/>
    <w:rsid w:val="006508EA"/>
    <w:rsid w:val="0065092E"/>
    <w:rsid w:val="00654897"/>
    <w:rsid w:val="006557A7"/>
    <w:rsid w:val="00656290"/>
    <w:rsid w:val="0065644E"/>
    <w:rsid w:val="006601C9"/>
    <w:rsid w:val="006608D8"/>
    <w:rsid w:val="0066193E"/>
    <w:rsid w:val="00661E2E"/>
    <w:rsid w:val="006621D7"/>
    <w:rsid w:val="0066302A"/>
    <w:rsid w:val="0066311B"/>
    <w:rsid w:val="00667011"/>
    <w:rsid w:val="00667770"/>
    <w:rsid w:val="00670597"/>
    <w:rsid w:val="006706D0"/>
    <w:rsid w:val="00674F0E"/>
    <w:rsid w:val="006772DD"/>
    <w:rsid w:val="006773CD"/>
    <w:rsid w:val="00677574"/>
    <w:rsid w:val="006812ED"/>
    <w:rsid w:val="00683878"/>
    <w:rsid w:val="00684380"/>
    <w:rsid w:val="0068454C"/>
    <w:rsid w:val="006846B8"/>
    <w:rsid w:val="006846F5"/>
    <w:rsid w:val="00691B62"/>
    <w:rsid w:val="006933B5"/>
    <w:rsid w:val="00693546"/>
    <w:rsid w:val="00693D14"/>
    <w:rsid w:val="00696F27"/>
    <w:rsid w:val="00697EFF"/>
    <w:rsid w:val="006A18C2"/>
    <w:rsid w:val="006A2717"/>
    <w:rsid w:val="006A3383"/>
    <w:rsid w:val="006A39E8"/>
    <w:rsid w:val="006A4975"/>
    <w:rsid w:val="006A5D6F"/>
    <w:rsid w:val="006B077C"/>
    <w:rsid w:val="006B0C81"/>
    <w:rsid w:val="006B23D3"/>
    <w:rsid w:val="006B6803"/>
    <w:rsid w:val="006C058B"/>
    <w:rsid w:val="006D0A7F"/>
    <w:rsid w:val="006D0F16"/>
    <w:rsid w:val="006D2A3F"/>
    <w:rsid w:val="006D2FBC"/>
    <w:rsid w:val="006D3A35"/>
    <w:rsid w:val="006D3EF9"/>
    <w:rsid w:val="006D4EF7"/>
    <w:rsid w:val="006D5FC3"/>
    <w:rsid w:val="006D6E34"/>
    <w:rsid w:val="006D76EF"/>
    <w:rsid w:val="006E138B"/>
    <w:rsid w:val="006E1867"/>
    <w:rsid w:val="006F0330"/>
    <w:rsid w:val="006F1FDC"/>
    <w:rsid w:val="006F45C2"/>
    <w:rsid w:val="006F4C32"/>
    <w:rsid w:val="006F6B60"/>
    <w:rsid w:val="006F6B76"/>
    <w:rsid w:val="006F6B8C"/>
    <w:rsid w:val="006F716D"/>
    <w:rsid w:val="007013EF"/>
    <w:rsid w:val="007055BD"/>
    <w:rsid w:val="0071012A"/>
    <w:rsid w:val="007173CA"/>
    <w:rsid w:val="007216AA"/>
    <w:rsid w:val="00721A62"/>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1C10"/>
    <w:rsid w:val="00752B28"/>
    <w:rsid w:val="007536BC"/>
    <w:rsid w:val="007541A9"/>
    <w:rsid w:val="00754E36"/>
    <w:rsid w:val="00755F0B"/>
    <w:rsid w:val="00763139"/>
    <w:rsid w:val="00765503"/>
    <w:rsid w:val="00770924"/>
    <w:rsid w:val="00770F37"/>
    <w:rsid w:val="007711A0"/>
    <w:rsid w:val="00772D5E"/>
    <w:rsid w:val="0077463E"/>
    <w:rsid w:val="00776928"/>
    <w:rsid w:val="007769C6"/>
    <w:rsid w:val="00776D56"/>
    <w:rsid w:val="00776E0F"/>
    <w:rsid w:val="007774B1"/>
    <w:rsid w:val="00777BE1"/>
    <w:rsid w:val="00782222"/>
    <w:rsid w:val="007833D8"/>
    <w:rsid w:val="00785677"/>
    <w:rsid w:val="00786F16"/>
    <w:rsid w:val="00791120"/>
    <w:rsid w:val="00791BD7"/>
    <w:rsid w:val="007933F7"/>
    <w:rsid w:val="00796E20"/>
    <w:rsid w:val="00797C32"/>
    <w:rsid w:val="007A11E8"/>
    <w:rsid w:val="007A52A4"/>
    <w:rsid w:val="007B0914"/>
    <w:rsid w:val="007B1374"/>
    <w:rsid w:val="007B25CA"/>
    <w:rsid w:val="007B32E5"/>
    <w:rsid w:val="007B3DB9"/>
    <w:rsid w:val="007B589F"/>
    <w:rsid w:val="007B6186"/>
    <w:rsid w:val="007B73BC"/>
    <w:rsid w:val="007C1838"/>
    <w:rsid w:val="007C20B9"/>
    <w:rsid w:val="007C4C84"/>
    <w:rsid w:val="007C4F38"/>
    <w:rsid w:val="007C6CFF"/>
    <w:rsid w:val="007C7301"/>
    <w:rsid w:val="007C7859"/>
    <w:rsid w:val="007C7F28"/>
    <w:rsid w:val="007D08AF"/>
    <w:rsid w:val="007D1466"/>
    <w:rsid w:val="007D2BDE"/>
    <w:rsid w:val="007D2FB6"/>
    <w:rsid w:val="007D49EB"/>
    <w:rsid w:val="007D4BA1"/>
    <w:rsid w:val="007D5E1C"/>
    <w:rsid w:val="007D6765"/>
    <w:rsid w:val="007D71D1"/>
    <w:rsid w:val="007E0BE1"/>
    <w:rsid w:val="007E0DE2"/>
    <w:rsid w:val="007E3667"/>
    <w:rsid w:val="007E3B98"/>
    <w:rsid w:val="007E417A"/>
    <w:rsid w:val="007E500D"/>
    <w:rsid w:val="007F0977"/>
    <w:rsid w:val="007F31B6"/>
    <w:rsid w:val="007F546C"/>
    <w:rsid w:val="007F625F"/>
    <w:rsid w:val="007F665E"/>
    <w:rsid w:val="00800412"/>
    <w:rsid w:val="0080587B"/>
    <w:rsid w:val="00806468"/>
    <w:rsid w:val="008119CA"/>
    <w:rsid w:val="008130C4"/>
    <w:rsid w:val="00813550"/>
    <w:rsid w:val="008150CF"/>
    <w:rsid w:val="008155F0"/>
    <w:rsid w:val="00816735"/>
    <w:rsid w:val="00816760"/>
    <w:rsid w:val="00820141"/>
    <w:rsid w:val="00820741"/>
    <w:rsid w:val="00820E0C"/>
    <w:rsid w:val="00822B9C"/>
    <w:rsid w:val="00823275"/>
    <w:rsid w:val="0082366F"/>
    <w:rsid w:val="00831B47"/>
    <w:rsid w:val="008338A2"/>
    <w:rsid w:val="00837ED8"/>
    <w:rsid w:val="00841AA9"/>
    <w:rsid w:val="008474FE"/>
    <w:rsid w:val="00847AB5"/>
    <w:rsid w:val="00851BF5"/>
    <w:rsid w:val="00853EE4"/>
    <w:rsid w:val="00853FF5"/>
    <w:rsid w:val="00855535"/>
    <w:rsid w:val="00857C5A"/>
    <w:rsid w:val="00861EC0"/>
    <w:rsid w:val="0086223A"/>
    <w:rsid w:val="0086255E"/>
    <w:rsid w:val="008633F0"/>
    <w:rsid w:val="00863B7C"/>
    <w:rsid w:val="00867D9D"/>
    <w:rsid w:val="00870B1A"/>
    <w:rsid w:val="00872E0A"/>
    <w:rsid w:val="00873594"/>
    <w:rsid w:val="00875285"/>
    <w:rsid w:val="00877635"/>
    <w:rsid w:val="00884B62"/>
    <w:rsid w:val="0088529C"/>
    <w:rsid w:val="00887903"/>
    <w:rsid w:val="00891E34"/>
    <w:rsid w:val="0089270A"/>
    <w:rsid w:val="00893AF6"/>
    <w:rsid w:val="00894BC4"/>
    <w:rsid w:val="00896890"/>
    <w:rsid w:val="008A28A8"/>
    <w:rsid w:val="008A41EB"/>
    <w:rsid w:val="008A4981"/>
    <w:rsid w:val="008A5B32"/>
    <w:rsid w:val="008B0E81"/>
    <w:rsid w:val="008B2029"/>
    <w:rsid w:val="008B2EE4"/>
    <w:rsid w:val="008B379D"/>
    <w:rsid w:val="008B3821"/>
    <w:rsid w:val="008B4D3D"/>
    <w:rsid w:val="008B57C7"/>
    <w:rsid w:val="008C2F92"/>
    <w:rsid w:val="008C3546"/>
    <w:rsid w:val="008C5417"/>
    <w:rsid w:val="008C589D"/>
    <w:rsid w:val="008C5F97"/>
    <w:rsid w:val="008C6D51"/>
    <w:rsid w:val="008D12A5"/>
    <w:rsid w:val="008D2846"/>
    <w:rsid w:val="008D41AC"/>
    <w:rsid w:val="008D4236"/>
    <w:rsid w:val="008D462F"/>
    <w:rsid w:val="008D5BDB"/>
    <w:rsid w:val="008D67C6"/>
    <w:rsid w:val="008D6DCF"/>
    <w:rsid w:val="008E4376"/>
    <w:rsid w:val="008E5920"/>
    <w:rsid w:val="008E7807"/>
    <w:rsid w:val="008E7A0A"/>
    <w:rsid w:val="008E7B49"/>
    <w:rsid w:val="008F2EA2"/>
    <w:rsid w:val="008F4A3A"/>
    <w:rsid w:val="008F59F6"/>
    <w:rsid w:val="00900719"/>
    <w:rsid w:val="009017AC"/>
    <w:rsid w:val="00902061"/>
    <w:rsid w:val="00902A9A"/>
    <w:rsid w:val="00904A1C"/>
    <w:rsid w:val="00905030"/>
    <w:rsid w:val="00906490"/>
    <w:rsid w:val="00907C69"/>
    <w:rsid w:val="009111B2"/>
    <w:rsid w:val="009151F5"/>
    <w:rsid w:val="009203A9"/>
    <w:rsid w:val="00924AE1"/>
    <w:rsid w:val="00924B57"/>
    <w:rsid w:val="009269B1"/>
    <w:rsid w:val="0092724D"/>
    <w:rsid w:val="009272B3"/>
    <w:rsid w:val="009315BE"/>
    <w:rsid w:val="00932238"/>
    <w:rsid w:val="009326DD"/>
    <w:rsid w:val="0093338F"/>
    <w:rsid w:val="00937BD9"/>
    <w:rsid w:val="00942601"/>
    <w:rsid w:val="00943E14"/>
    <w:rsid w:val="009454E0"/>
    <w:rsid w:val="00950E2C"/>
    <w:rsid w:val="00951D50"/>
    <w:rsid w:val="009525EB"/>
    <w:rsid w:val="0095470B"/>
    <w:rsid w:val="00954874"/>
    <w:rsid w:val="0095615A"/>
    <w:rsid w:val="00960D6F"/>
    <w:rsid w:val="0096105C"/>
    <w:rsid w:val="00961400"/>
    <w:rsid w:val="00963646"/>
    <w:rsid w:val="0096420E"/>
    <w:rsid w:val="0096506F"/>
    <w:rsid w:val="0096632D"/>
    <w:rsid w:val="00967124"/>
    <w:rsid w:val="0097166C"/>
    <w:rsid w:val="009718C7"/>
    <w:rsid w:val="00973711"/>
    <w:rsid w:val="0097559F"/>
    <w:rsid w:val="009761EA"/>
    <w:rsid w:val="00976FC6"/>
    <w:rsid w:val="0097761E"/>
    <w:rsid w:val="00982454"/>
    <w:rsid w:val="00982CF0"/>
    <w:rsid w:val="00983216"/>
    <w:rsid w:val="009853E1"/>
    <w:rsid w:val="00986E6B"/>
    <w:rsid w:val="00990032"/>
    <w:rsid w:val="0099009D"/>
    <w:rsid w:val="00990B19"/>
    <w:rsid w:val="0099153B"/>
    <w:rsid w:val="00991769"/>
    <w:rsid w:val="0099232C"/>
    <w:rsid w:val="00994386"/>
    <w:rsid w:val="00995548"/>
    <w:rsid w:val="009A050C"/>
    <w:rsid w:val="009A066A"/>
    <w:rsid w:val="009A13D8"/>
    <w:rsid w:val="009A279E"/>
    <w:rsid w:val="009A3015"/>
    <w:rsid w:val="009A3490"/>
    <w:rsid w:val="009A6DD9"/>
    <w:rsid w:val="009B05FD"/>
    <w:rsid w:val="009B0A6F"/>
    <w:rsid w:val="009B0A94"/>
    <w:rsid w:val="009B0C62"/>
    <w:rsid w:val="009B27A4"/>
    <w:rsid w:val="009B2AE8"/>
    <w:rsid w:val="009B5622"/>
    <w:rsid w:val="009B59E9"/>
    <w:rsid w:val="009B70AA"/>
    <w:rsid w:val="009C245E"/>
    <w:rsid w:val="009C3CF1"/>
    <w:rsid w:val="009C572B"/>
    <w:rsid w:val="009C5E77"/>
    <w:rsid w:val="009C7A7E"/>
    <w:rsid w:val="009D023F"/>
    <w:rsid w:val="009D02E8"/>
    <w:rsid w:val="009D184E"/>
    <w:rsid w:val="009D328F"/>
    <w:rsid w:val="009D51D0"/>
    <w:rsid w:val="009D70A4"/>
    <w:rsid w:val="009D7B14"/>
    <w:rsid w:val="009E08D1"/>
    <w:rsid w:val="009E0D96"/>
    <w:rsid w:val="009E126B"/>
    <w:rsid w:val="009E1B95"/>
    <w:rsid w:val="009E496F"/>
    <w:rsid w:val="009E4B0D"/>
    <w:rsid w:val="009E5250"/>
    <w:rsid w:val="009E6793"/>
    <w:rsid w:val="009E7A69"/>
    <w:rsid w:val="009E7F92"/>
    <w:rsid w:val="009F02A3"/>
    <w:rsid w:val="009F2102"/>
    <w:rsid w:val="009F2182"/>
    <w:rsid w:val="009F2F27"/>
    <w:rsid w:val="009F34AA"/>
    <w:rsid w:val="009F6BCB"/>
    <w:rsid w:val="009F7B78"/>
    <w:rsid w:val="00A0057A"/>
    <w:rsid w:val="00A01FB1"/>
    <w:rsid w:val="00A02D54"/>
    <w:rsid w:val="00A02FA1"/>
    <w:rsid w:val="00A04CCE"/>
    <w:rsid w:val="00A07421"/>
    <w:rsid w:val="00A0776B"/>
    <w:rsid w:val="00A079C5"/>
    <w:rsid w:val="00A10FB9"/>
    <w:rsid w:val="00A11421"/>
    <w:rsid w:val="00A1389F"/>
    <w:rsid w:val="00A157B1"/>
    <w:rsid w:val="00A16CB0"/>
    <w:rsid w:val="00A22229"/>
    <w:rsid w:val="00A22A22"/>
    <w:rsid w:val="00A24442"/>
    <w:rsid w:val="00A24ADA"/>
    <w:rsid w:val="00A262BE"/>
    <w:rsid w:val="00A31871"/>
    <w:rsid w:val="00A32577"/>
    <w:rsid w:val="00A330BB"/>
    <w:rsid w:val="00A37200"/>
    <w:rsid w:val="00A40523"/>
    <w:rsid w:val="00A446F5"/>
    <w:rsid w:val="00A44882"/>
    <w:rsid w:val="00A45125"/>
    <w:rsid w:val="00A54715"/>
    <w:rsid w:val="00A6061C"/>
    <w:rsid w:val="00A62D44"/>
    <w:rsid w:val="00A67263"/>
    <w:rsid w:val="00A675FB"/>
    <w:rsid w:val="00A7032B"/>
    <w:rsid w:val="00A7161C"/>
    <w:rsid w:val="00A71CE4"/>
    <w:rsid w:val="00A77AA3"/>
    <w:rsid w:val="00A8236D"/>
    <w:rsid w:val="00A854EB"/>
    <w:rsid w:val="00A872E5"/>
    <w:rsid w:val="00A91406"/>
    <w:rsid w:val="00A934B2"/>
    <w:rsid w:val="00A93A41"/>
    <w:rsid w:val="00A95BBE"/>
    <w:rsid w:val="00A96E65"/>
    <w:rsid w:val="00A96ECE"/>
    <w:rsid w:val="00A97A6C"/>
    <w:rsid w:val="00A97C72"/>
    <w:rsid w:val="00AA310B"/>
    <w:rsid w:val="00AA63D4"/>
    <w:rsid w:val="00AA72AA"/>
    <w:rsid w:val="00AB06E8"/>
    <w:rsid w:val="00AB1CD3"/>
    <w:rsid w:val="00AB352F"/>
    <w:rsid w:val="00AC274B"/>
    <w:rsid w:val="00AC311A"/>
    <w:rsid w:val="00AC4764"/>
    <w:rsid w:val="00AC57F2"/>
    <w:rsid w:val="00AC6D36"/>
    <w:rsid w:val="00AD0CBA"/>
    <w:rsid w:val="00AD1E16"/>
    <w:rsid w:val="00AD26E2"/>
    <w:rsid w:val="00AD784C"/>
    <w:rsid w:val="00AE126A"/>
    <w:rsid w:val="00AE1BAE"/>
    <w:rsid w:val="00AE2A0D"/>
    <w:rsid w:val="00AE3005"/>
    <w:rsid w:val="00AE3BD5"/>
    <w:rsid w:val="00AE59A0"/>
    <w:rsid w:val="00AE76B3"/>
    <w:rsid w:val="00AF0C57"/>
    <w:rsid w:val="00AF26F3"/>
    <w:rsid w:val="00AF2B9F"/>
    <w:rsid w:val="00AF3123"/>
    <w:rsid w:val="00AF5F04"/>
    <w:rsid w:val="00B00672"/>
    <w:rsid w:val="00B01B4D"/>
    <w:rsid w:val="00B04489"/>
    <w:rsid w:val="00B06571"/>
    <w:rsid w:val="00B068BA"/>
    <w:rsid w:val="00B07217"/>
    <w:rsid w:val="00B13851"/>
    <w:rsid w:val="00B13B1C"/>
    <w:rsid w:val="00B142C7"/>
    <w:rsid w:val="00B14B5F"/>
    <w:rsid w:val="00B150D0"/>
    <w:rsid w:val="00B21F90"/>
    <w:rsid w:val="00B22291"/>
    <w:rsid w:val="00B22E85"/>
    <w:rsid w:val="00B23F9A"/>
    <w:rsid w:val="00B2417B"/>
    <w:rsid w:val="00B24E6F"/>
    <w:rsid w:val="00B26CB5"/>
    <w:rsid w:val="00B26F5C"/>
    <w:rsid w:val="00B2752E"/>
    <w:rsid w:val="00B27A48"/>
    <w:rsid w:val="00B307CC"/>
    <w:rsid w:val="00B30905"/>
    <w:rsid w:val="00B311C8"/>
    <w:rsid w:val="00B31EC0"/>
    <w:rsid w:val="00B326B7"/>
    <w:rsid w:val="00B328D1"/>
    <w:rsid w:val="00B32F73"/>
    <w:rsid w:val="00B3588E"/>
    <w:rsid w:val="00B36584"/>
    <w:rsid w:val="00B3744D"/>
    <w:rsid w:val="00B4198F"/>
    <w:rsid w:val="00B41F3D"/>
    <w:rsid w:val="00B431E8"/>
    <w:rsid w:val="00B4372F"/>
    <w:rsid w:val="00B45141"/>
    <w:rsid w:val="00B46F1F"/>
    <w:rsid w:val="00B519CD"/>
    <w:rsid w:val="00B5273A"/>
    <w:rsid w:val="00B538B1"/>
    <w:rsid w:val="00B540F9"/>
    <w:rsid w:val="00B57329"/>
    <w:rsid w:val="00B576A6"/>
    <w:rsid w:val="00B60E61"/>
    <w:rsid w:val="00B62B50"/>
    <w:rsid w:val="00B635B7"/>
    <w:rsid w:val="00B63AE8"/>
    <w:rsid w:val="00B65950"/>
    <w:rsid w:val="00B66D83"/>
    <w:rsid w:val="00B672C0"/>
    <w:rsid w:val="00B676FD"/>
    <w:rsid w:val="00B678B6"/>
    <w:rsid w:val="00B743FD"/>
    <w:rsid w:val="00B75646"/>
    <w:rsid w:val="00B7629E"/>
    <w:rsid w:val="00B85D10"/>
    <w:rsid w:val="00B90729"/>
    <w:rsid w:val="00B907DA"/>
    <w:rsid w:val="00B91CF1"/>
    <w:rsid w:val="00B94035"/>
    <w:rsid w:val="00B94C5E"/>
    <w:rsid w:val="00B950BC"/>
    <w:rsid w:val="00B96E1D"/>
    <w:rsid w:val="00B9714C"/>
    <w:rsid w:val="00BA0164"/>
    <w:rsid w:val="00BA29AD"/>
    <w:rsid w:val="00BA33CF"/>
    <w:rsid w:val="00BA3F8D"/>
    <w:rsid w:val="00BB0108"/>
    <w:rsid w:val="00BB34DE"/>
    <w:rsid w:val="00BB614C"/>
    <w:rsid w:val="00BB7A10"/>
    <w:rsid w:val="00BC60BE"/>
    <w:rsid w:val="00BC7468"/>
    <w:rsid w:val="00BC7D4F"/>
    <w:rsid w:val="00BC7E73"/>
    <w:rsid w:val="00BC7ED7"/>
    <w:rsid w:val="00BD0EF0"/>
    <w:rsid w:val="00BD260F"/>
    <w:rsid w:val="00BD2773"/>
    <w:rsid w:val="00BD2850"/>
    <w:rsid w:val="00BD4BC9"/>
    <w:rsid w:val="00BE28D2"/>
    <w:rsid w:val="00BE4A64"/>
    <w:rsid w:val="00BE5E43"/>
    <w:rsid w:val="00BE663E"/>
    <w:rsid w:val="00BF4790"/>
    <w:rsid w:val="00BF557D"/>
    <w:rsid w:val="00BF658D"/>
    <w:rsid w:val="00BF7F58"/>
    <w:rsid w:val="00C01381"/>
    <w:rsid w:val="00C01AB1"/>
    <w:rsid w:val="00C026A0"/>
    <w:rsid w:val="00C02B46"/>
    <w:rsid w:val="00C03799"/>
    <w:rsid w:val="00C06137"/>
    <w:rsid w:val="00C06929"/>
    <w:rsid w:val="00C079B8"/>
    <w:rsid w:val="00C10037"/>
    <w:rsid w:val="00C115E1"/>
    <w:rsid w:val="00C120E1"/>
    <w:rsid w:val="00C123EA"/>
    <w:rsid w:val="00C12A49"/>
    <w:rsid w:val="00C12B05"/>
    <w:rsid w:val="00C133EE"/>
    <w:rsid w:val="00C149D0"/>
    <w:rsid w:val="00C15D95"/>
    <w:rsid w:val="00C15E55"/>
    <w:rsid w:val="00C220E5"/>
    <w:rsid w:val="00C24E1E"/>
    <w:rsid w:val="00C26588"/>
    <w:rsid w:val="00C27DE9"/>
    <w:rsid w:val="00C311FE"/>
    <w:rsid w:val="00C316DF"/>
    <w:rsid w:val="00C32989"/>
    <w:rsid w:val="00C33388"/>
    <w:rsid w:val="00C35484"/>
    <w:rsid w:val="00C360A6"/>
    <w:rsid w:val="00C360AF"/>
    <w:rsid w:val="00C4173A"/>
    <w:rsid w:val="00C45746"/>
    <w:rsid w:val="00C50DED"/>
    <w:rsid w:val="00C52217"/>
    <w:rsid w:val="00C57BBE"/>
    <w:rsid w:val="00C602FF"/>
    <w:rsid w:val="00C60411"/>
    <w:rsid w:val="00C61174"/>
    <w:rsid w:val="00C6148F"/>
    <w:rsid w:val="00C621B1"/>
    <w:rsid w:val="00C62F7A"/>
    <w:rsid w:val="00C63007"/>
    <w:rsid w:val="00C63B9C"/>
    <w:rsid w:val="00C64813"/>
    <w:rsid w:val="00C6682F"/>
    <w:rsid w:val="00C67B33"/>
    <w:rsid w:val="00C67BF4"/>
    <w:rsid w:val="00C7275E"/>
    <w:rsid w:val="00C731AF"/>
    <w:rsid w:val="00C74C5D"/>
    <w:rsid w:val="00C83552"/>
    <w:rsid w:val="00C83E95"/>
    <w:rsid w:val="00C863C4"/>
    <w:rsid w:val="00C86E81"/>
    <w:rsid w:val="00C90DAB"/>
    <w:rsid w:val="00C920EA"/>
    <w:rsid w:val="00C93C3E"/>
    <w:rsid w:val="00C96250"/>
    <w:rsid w:val="00CA12E3"/>
    <w:rsid w:val="00CA1476"/>
    <w:rsid w:val="00CA1576"/>
    <w:rsid w:val="00CA1D73"/>
    <w:rsid w:val="00CA6611"/>
    <w:rsid w:val="00CA6AE6"/>
    <w:rsid w:val="00CA782F"/>
    <w:rsid w:val="00CB187B"/>
    <w:rsid w:val="00CB2835"/>
    <w:rsid w:val="00CB3285"/>
    <w:rsid w:val="00CB4500"/>
    <w:rsid w:val="00CB5EA8"/>
    <w:rsid w:val="00CB73FD"/>
    <w:rsid w:val="00CC029F"/>
    <w:rsid w:val="00CC0C72"/>
    <w:rsid w:val="00CC2BFD"/>
    <w:rsid w:val="00CC6F40"/>
    <w:rsid w:val="00CC71F0"/>
    <w:rsid w:val="00CD3476"/>
    <w:rsid w:val="00CD64DF"/>
    <w:rsid w:val="00CD751F"/>
    <w:rsid w:val="00CD768F"/>
    <w:rsid w:val="00CE225F"/>
    <w:rsid w:val="00CE2ECB"/>
    <w:rsid w:val="00CE6F7D"/>
    <w:rsid w:val="00CF230C"/>
    <w:rsid w:val="00CF2F50"/>
    <w:rsid w:val="00CF6198"/>
    <w:rsid w:val="00D00BE5"/>
    <w:rsid w:val="00D0251E"/>
    <w:rsid w:val="00D02919"/>
    <w:rsid w:val="00D04C61"/>
    <w:rsid w:val="00D05B8D"/>
    <w:rsid w:val="00D05B9B"/>
    <w:rsid w:val="00D065A2"/>
    <w:rsid w:val="00D06854"/>
    <w:rsid w:val="00D079AA"/>
    <w:rsid w:val="00D07F00"/>
    <w:rsid w:val="00D1130F"/>
    <w:rsid w:val="00D1571F"/>
    <w:rsid w:val="00D16FCB"/>
    <w:rsid w:val="00D17B72"/>
    <w:rsid w:val="00D22FC4"/>
    <w:rsid w:val="00D24BDF"/>
    <w:rsid w:val="00D30B2C"/>
    <w:rsid w:val="00D3185C"/>
    <w:rsid w:val="00D3205F"/>
    <w:rsid w:val="00D3318E"/>
    <w:rsid w:val="00D33E72"/>
    <w:rsid w:val="00D35BD6"/>
    <w:rsid w:val="00D361B5"/>
    <w:rsid w:val="00D402EC"/>
    <w:rsid w:val="00D411A2"/>
    <w:rsid w:val="00D4606D"/>
    <w:rsid w:val="00D50B9C"/>
    <w:rsid w:val="00D513AF"/>
    <w:rsid w:val="00D52D73"/>
    <w:rsid w:val="00D52E58"/>
    <w:rsid w:val="00D53352"/>
    <w:rsid w:val="00D54D80"/>
    <w:rsid w:val="00D56B20"/>
    <w:rsid w:val="00D578B3"/>
    <w:rsid w:val="00D618F4"/>
    <w:rsid w:val="00D63636"/>
    <w:rsid w:val="00D640AD"/>
    <w:rsid w:val="00D6719B"/>
    <w:rsid w:val="00D675D8"/>
    <w:rsid w:val="00D701A1"/>
    <w:rsid w:val="00D714CC"/>
    <w:rsid w:val="00D75EA7"/>
    <w:rsid w:val="00D77252"/>
    <w:rsid w:val="00D81ADF"/>
    <w:rsid w:val="00D81F21"/>
    <w:rsid w:val="00D83D06"/>
    <w:rsid w:val="00D864F2"/>
    <w:rsid w:val="00D93297"/>
    <w:rsid w:val="00D943F8"/>
    <w:rsid w:val="00D95470"/>
    <w:rsid w:val="00D961F4"/>
    <w:rsid w:val="00D96B55"/>
    <w:rsid w:val="00DA2619"/>
    <w:rsid w:val="00DA2801"/>
    <w:rsid w:val="00DA4239"/>
    <w:rsid w:val="00DA585B"/>
    <w:rsid w:val="00DA588C"/>
    <w:rsid w:val="00DA65DE"/>
    <w:rsid w:val="00DB0B61"/>
    <w:rsid w:val="00DB1474"/>
    <w:rsid w:val="00DB2962"/>
    <w:rsid w:val="00DB52FB"/>
    <w:rsid w:val="00DC00C1"/>
    <w:rsid w:val="00DC013B"/>
    <w:rsid w:val="00DC090B"/>
    <w:rsid w:val="00DC1679"/>
    <w:rsid w:val="00DC219B"/>
    <w:rsid w:val="00DC2BD8"/>
    <w:rsid w:val="00DC2CF1"/>
    <w:rsid w:val="00DC2DC7"/>
    <w:rsid w:val="00DC3A7C"/>
    <w:rsid w:val="00DC4FCF"/>
    <w:rsid w:val="00DC50E0"/>
    <w:rsid w:val="00DC6386"/>
    <w:rsid w:val="00DC7E83"/>
    <w:rsid w:val="00DD1130"/>
    <w:rsid w:val="00DD1951"/>
    <w:rsid w:val="00DD487D"/>
    <w:rsid w:val="00DD4CB2"/>
    <w:rsid w:val="00DD4E38"/>
    <w:rsid w:val="00DD4E83"/>
    <w:rsid w:val="00DD636B"/>
    <w:rsid w:val="00DD6628"/>
    <w:rsid w:val="00DD6945"/>
    <w:rsid w:val="00DE11D5"/>
    <w:rsid w:val="00DE257D"/>
    <w:rsid w:val="00DE2D04"/>
    <w:rsid w:val="00DE3250"/>
    <w:rsid w:val="00DE3D4D"/>
    <w:rsid w:val="00DE6028"/>
    <w:rsid w:val="00DE6C85"/>
    <w:rsid w:val="00DE78A3"/>
    <w:rsid w:val="00DF07D7"/>
    <w:rsid w:val="00DF09BF"/>
    <w:rsid w:val="00DF0AB0"/>
    <w:rsid w:val="00DF0C4C"/>
    <w:rsid w:val="00DF1A71"/>
    <w:rsid w:val="00DF50FC"/>
    <w:rsid w:val="00DF68C7"/>
    <w:rsid w:val="00DF731A"/>
    <w:rsid w:val="00E00BE0"/>
    <w:rsid w:val="00E02BDA"/>
    <w:rsid w:val="00E04BBB"/>
    <w:rsid w:val="00E06B75"/>
    <w:rsid w:val="00E10D83"/>
    <w:rsid w:val="00E11332"/>
    <w:rsid w:val="00E11352"/>
    <w:rsid w:val="00E12068"/>
    <w:rsid w:val="00E161BB"/>
    <w:rsid w:val="00E170DC"/>
    <w:rsid w:val="00E17546"/>
    <w:rsid w:val="00E210B5"/>
    <w:rsid w:val="00E25018"/>
    <w:rsid w:val="00E256E0"/>
    <w:rsid w:val="00E258C4"/>
    <w:rsid w:val="00E261B3"/>
    <w:rsid w:val="00E26818"/>
    <w:rsid w:val="00E27FFC"/>
    <w:rsid w:val="00E30B15"/>
    <w:rsid w:val="00E33237"/>
    <w:rsid w:val="00E36C4B"/>
    <w:rsid w:val="00E40181"/>
    <w:rsid w:val="00E456F7"/>
    <w:rsid w:val="00E47985"/>
    <w:rsid w:val="00E50EAF"/>
    <w:rsid w:val="00E54950"/>
    <w:rsid w:val="00E552D0"/>
    <w:rsid w:val="00E55FB3"/>
    <w:rsid w:val="00E56A01"/>
    <w:rsid w:val="00E61C02"/>
    <w:rsid w:val="00E629A1"/>
    <w:rsid w:val="00E629C7"/>
    <w:rsid w:val="00E62A78"/>
    <w:rsid w:val="00E65239"/>
    <w:rsid w:val="00E6620F"/>
    <w:rsid w:val="00E66E4F"/>
    <w:rsid w:val="00E6794C"/>
    <w:rsid w:val="00E71591"/>
    <w:rsid w:val="00E71CEB"/>
    <w:rsid w:val="00E7474F"/>
    <w:rsid w:val="00E80DE3"/>
    <w:rsid w:val="00E82C55"/>
    <w:rsid w:val="00E8507B"/>
    <w:rsid w:val="00E85B84"/>
    <w:rsid w:val="00E85C5D"/>
    <w:rsid w:val="00E8787E"/>
    <w:rsid w:val="00E92AC3"/>
    <w:rsid w:val="00E93FC3"/>
    <w:rsid w:val="00E97D3B"/>
    <w:rsid w:val="00EA2F6A"/>
    <w:rsid w:val="00EA37E0"/>
    <w:rsid w:val="00EB00E0"/>
    <w:rsid w:val="00EB05D5"/>
    <w:rsid w:val="00EB4BC7"/>
    <w:rsid w:val="00EC059F"/>
    <w:rsid w:val="00EC0A50"/>
    <w:rsid w:val="00EC1F24"/>
    <w:rsid w:val="00EC22F6"/>
    <w:rsid w:val="00EC3029"/>
    <w:rsid w:val="00EC3DB9"/>
    <w:rsid w:val="00ED5B9B"/>
    <w:rsid w:val="00ED6BAD"/>
    <w:rsid w:val="00ED7447"/>
    <w:rsid w:val="00ED7762"/>
    <w:rsid w:val="00EE00D6"/>
    <w:rsid w:val="00EE11E7"/>
    <w:rsid w:val="00EE1488"/>
    <w:rsid w:val="00EE29AD"/>
    <w:rsid w:val="00EE3464"/>
    <w:rsid w:val="00EE3E24"/>
    <w:rsid w:val="00EE4D5D"/>
    <w:rsid w:val="00EE5131"/>
    <w:rsid w:val="00EF109B"/>
    <w:rsid w:val="00EF201C"/>
    <w:rsid w:val="00EF2C72"/>
    <w:rsid w:val="00EF36AF"/>
    <w:rsid w:val="00EF59A3"/>
    <w:rsid w:val="00EF633F"/>
    <w:rsid w:val="00EF6675"/>
    <w:rsid w:val="00F0012D"/>
    <w:rsid w:val="00F0063D"/>
    <w:rsid w:val="00F00F9C"/>
    <w:rsid w:val="00F01E5F"/>
    <w:rsid w:val="00F024F3"/>
    <w:rsid w:val="00F02ABA"/>
    <w:rsid w:val="00F0437A"/>
    <w:rsid w:val="00F101B8"/>
    <w:rsid w:val="00F11037"/>
    <w:rsid w:val="00F13D76"/>
    <w:rsid w:val="00F15144"/>
    <w:rsid w:val="00F16F1B"/>
    <w:rsid w:val="00F250A9"/>
    <w:rsid w:val="00F25C7D"/>
    <w:rsid w:val="00F26584"/>
    <w:rsid w:val="00F267AF"/>
    <w:rsid w:val="00F30FF4"/>
    <w:rsid w:val="00F3122E"/>
    <w:rsid w:val="00F31609"/>
    <w:rsid w:val="00F32368"/>
    <w:rsid w:val="00F331AD"/>
    <w:rsid w:val="00F3431E"/>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04F5"/>
    <w:rsid w:val="00F61A9F"/>
    <w:rsid w:val="00F61B5F"/>
    <w:rsid w:val="00F64696"/>
    <w:rsid w:val="00F65AA9"/>
    <w:rsid w:val="00F6768F"/>
    <w:rsid w:val="00F72C2C"/>
    <w:rsid w:val="00F741F2"/>
    <w:rsid w:val="00F7697B"/>
    <w:rsid w:val="00F76CAB"/>
    <w:rsid w:val="00F772C6"/>
    <w:rsid w:val="00F77D09"/>
    <w:rsid w:val="00F815B5"/>
    <w:rsid w:val="00F820DB"/>
    <w:rsid w:val="00F83892"/>
    <w:rsid w:val="00F85195"/>
    <w:rsid w:val="00F857D4"/>
    <w:rsid w:val="00F868E3"/>
    <w:rsid w:val="00F938BA"/>
    <w:rsid w:val="00F954EE"/>
    <w:rsid w:val="00F95FB7"/>
    <w:rsid w:val="00F97919"/>
    <w:rsid w:val="00FA230B"/>
    <w:rsid w:val="00FA2C46"/>
    <w:rsid w:val="00FA3525"/>
    <w:rsid w:val="00FA3C02"/>
    <w:rsid w:val="00FA4801"/>
    <w:rsid w:val="00FA5A53"/>
    <w:rsid w:val="00FA6983"/>
    <w:rsid w:val="00FB1F6E"/>
    <w:rsid w:val="00FB4769"/>
    <w:rsid w:val="00FB4CDA"/>
    <w:rsid w:val="00FB4D59"/>
    <w:rsid w:val="00FB6481"/>
    <w:rsid w:val="00FB6D36"/>
    <w:rsid w:val="00FC0965"/>
    <w:rsid w:val="00FC0F81"/>
    <w:rsid w:val="00FC252F"/>
    <w:rsid w:val="00FC395C"/>
    <w:rsid w:val="00FC5E8E"/>
    <w:rsid w:val="00FD3766"/>
    <w:rsid w:val="00FD3D05"/>
    <w:rsid w:val="00FD47C4"/>
    <w:rsid w:val="00FD6428"/>
    <w:rsid w:val="00FD6C70"/>
    <w:rsid w:val="00FD6FB3"/>
    <w:rsid w:val="00FE1E5E"/>
    <w:rsid w:val="00FE2DCF"/>
    <w:rsid w:val="00FE331E"/>
    <w:rsid w:val="00FE3FA7"/>
    <w:rsid w:val="00FE4081"/>
    <w:rsid w:val="00FF2A4E"/>
    <w:rsid w:val="00FF2FCE"/>
    <w:rsid w:val="00FF4F7D"/>
    <w:rsid w:val="00FF55E7"/>
    <w:rsid w:val="00FF6D9D"/>
    <w:rsid w:val="00FF7620"/>
    <w:rsid w:val="00FF7DD5"/>
    <w:rsid w:val="02251120"/>
    <w:rsid w:val="048E81B3"/>
    <w:rsid w:val="080935D6"/>
    <w:rsid w:val="092B1740"/>
    <w:rsid w:val="094B82DC"/>
    <w:rsid w:val="097E3258"/>
    <w:rsid w:val="0AAAF553"/>
    <w:rsid w:val="0AFB4831"/>
    <w:rsid w:val="0CE29BE9"/>
    <w:rsid w:val="0F104610"/>
    <w:rsid w:val="0F7C771A"/>
    <w:rsid w:val="1085A4B4"/>
    <w:rsid w:val="11CE05D6"/>
    <w:rsid w:val="122754D6"/>
    <w:rsid w:val="1314E2FD"/>
    <w:rsid w:val="13BE6366"/>
    <w:rsid w:val="1BF37264"/>
    <w:rsid w:val="1C244B98"/>
    <w:rsid w:val="2275D86C"/>
    <w:rsid w:val="24066923"/>
    <w:rsid w:val="258BF86B"/>
    <w:rsid w:val="2792CCD1"/>
    <w:rsid w:val="27D16DB0"/>
    <w:rsid w:val="28AE3071"/>
    <w:rsid w:val="294B0024"/>
    <w:rsid w:val="29B19AA4"/>
    <w:rsid w:val="2A3DFAF0"/>
    <w:rsid w:val="2C8FD1CE"/>
    <w:rsid w:val="2E4D5E38"/>
    <w:rsid w:val="33047633"/>
    <w:rsid w:val="3304E274"/>
    <w:rsid w:val="33A81ABA"/>
    <w:rsid w:val="36219D6C"/>
    <w:rsid w:val="38122E38"/>
    <w:rsid w:val="3CAA283A"/>
    <w:rsid w:val="41320714"/>
    <w:rsid w:val="42005C65"/>
    <w:rsid w:val="42CCEC3A"/>
    <w:rsid w:val="43B73044"/>
    <w:rsid w:val="44E048B5"/>
    <w:rsid w:val="47108B06"/>
    <w:rsid w:val="48DE0E72"/>
    <w:rsid w:val="48E09DD4"/>
    <w:rsid w:val="4A9F593D"/>
    <w:rsid w:val="4B4F1B45"/>
    <w:rsid w:val="4CD1F456"/>
    <w:rsid w:val="4E448CD8"/>
    <w:rsid w:val="4F227D33"/>
    <w:rsid w:val="4FDAB6D2"/>
    <w:rsid w:val="50228C68"/>
    <w:rsid w:val="519F743F"/>
    <w:rsid w:val="5218306B"/>
    <w:rsid w:val="531A0591"/>
    <w:rsid w:val="540246CD"/>
    <w:rsid w:val="547CB556"/>
    <w:rsid w:val="55B4721E"/>
    <w:rsid w:val="58103302"/>
    <w:rsid w:val="5849EBA6"/>
    <w:rsid w:val="59489E95"/>
    <w:rsid w:val="5D5D9C74"/>
    <w:rsid w:val="5E9B5854"/>
    <w:rsid w:val="5FA9D57A"/>
    <w:rsid w:val="6355CC04"/>
    <w:rsid w:val="636EBEAC"/>
    <w:rsid w:val="644EBECC"/>
    <w:rsid w:val="676FFD5F"/>
    <w:rsid w:val="67A93229"/>
    <w:rsid w:val="68BE69BF"/>
    <w:rsid w:val="69119411"/>
    <w:rsid w:val="696A7B0C"/>
    <w:rsid w:val="6A0AFAC9"/>
    <w:rsid w:val="6A953320"/>
    <w:rsid w:val="6C302479"/>
    <w:rsid w:val="6C56CBEB"/>
    <w:rsid w:val="6D5FF6EA"/>
    <w:rsid w:val="6F2755EE"/>
    <w:rsid w:val="70EBE6F4"/>
    <w:rsid w:val="72D42B70"/>
    <w:rsid w:val="73CC32BA"/>
    <w:rsid w:val="76759238"/>
    <w:rsid w:val="76AB7E16"/>
    <w:rsid w:val="77105819"/>
    <w:rsid w:val="776379CF"/>
    <w:rsid w:val="783992EC"/>
    <w:rsid w:val="7841F0BB"/>
    <w:rsid w:val="79068825"/>
    <w:rsid w:val="79F08FFA"/>
    <w:rsid w:val="7F75BAAB"/>
    <w:rsid w:val="7FF1EC2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659081"/>
  <w15:docId w15:val="{C1D01860-57E0-48CE-8435-80400CDB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9"/>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9"/>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9"/>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9"/>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C360A6"/>
    <w:pPr>
      <w:spacing w:after="120" w:line="320" w:lineRule="atLeast"/>
    </w:pPr>
    <w:rPr>
      <w:rFonts w:ascii="Arial" w:eastAsia="Times" w:hAnsi="Arial"/>
      <w:sz w:val="24"/>
      <w:lang w:eastAsia="en-US"/>
    </w:rPr>
  </w:style>
  <w:style w:type="character" w:customStyle="1" w:styleId="Heading1Char">
    <w:name w:val="Heading 1 Char"/>
    <w:link w:val="Heading1"/>
    <w:uiPriority w:val="9"/>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9"/>
    <w:rsid w:val="00F15144"/>
    <w:rPr>
      <w:rFonts w:ascii="Arial" w:hAnsi="Arial"/>
      <w:b/>
      <w:color w:val="201547"/>
      <w:sz w:val="32"/>
      <w:szCs w:val="28"/>
      <w:lang w:eastAsia="en-US"/>
    </w:rPr>
  </w:style>
  <w:style w:type="character" w:customStyle="1" w:styleId="Heading3Char">
    <w:name w:val="Heading 3 Char"/>
    <w:link w:val="Heading3"/>
    <w:uiPriority w:val="9"/>
    <w:rsid w:val="00F15144"/>
    <w:rPr>
      <w:rFonts w:ascii="Arial" w:eastAsia="MS Gothic" w:hAnsi="Arial"/>
      <w:bCs/>
      <w:color w:val="201547"/>
      <w:sz w:val="28"/>
      <w:szCs w:val="26"/>
      <w:lang w:eastAsia="en-US"/>
    </w:rPr>
  </w:style>
  <w:style w:type="character" w:customStyle="1" w:styleId="Heading4Char">
    <w:name w:val="Heading 4 Char"/>
    <w:link w:val="Heading4"/>
    <w:uiPriority w:val="9"/>
    <w:rsid w:val="00F15144"/>
    <w:rPr>
      <w:rFonts w:ascii="Arial" w:eastAsia="MS Mincho" w:hAnsi="Arial"/>
      <w:b/>
      <w:bCs/>
      <w:color w:val="201547"/>
      <w:sz w:val="24"/>
      <w:szCs w:val="22"/>
      <w:lang w:eastAsia="en-US"/>
    </w:rPr>
  </w:style>
  <w:style w:type="paragraph" w:styleId="Header">
    <w:name w:val="header"/>
    <w:link w:val="HeaderChar"/>
    <w:uiPriority w:val="99"/>
    <w:rsid w:val="00D00BE5"/>
    <w:rPr>
      <w:rFonts w:ascii="Arial" w:hAnsi="Arial" w:cs="Arial"/>
      <w:b/>
      <w:color w:val="201547"/>
      <w:szCs w:val="18"/>
      <w:lang w:eastAsia="en-US"/>
    </w:rPr>
  </w:style>
  <w:style w:type="paragraph" w:styleId="Footer">
    <w:name w:val="footer"/>
    <w:link w:val="FooterChar"/>
    <w:uiPriority w:val="99"/>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C360A6"/>
    <w:pPr>
      <w:keepNext/>
      <w:keepLines/>
      <w:tabs>
        <w:tab w:val="right" w:leader="dot" w:pos="9299"/>
      </w:tabs>
      <w:spacing w:before="160" w:after="60"/>
    </w:pPr>
    <w:rPr>
      <w:b/>
      <w:noProof/>
      <w:sz w:val="24"/>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C360A6"/>
    <w:pPr>
      <w:keepLines/>
      <w:tabs>
        <w:tab w:val="right" w:leader="dot" w:pos="9299"/>
      </w:tabs>
      <w:spacing w:after="60"/>
    </w:pPr>
    <w:rPr>
      <w:noProof/>
      <w:sz w:val="24"/>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D00BE5"/>
    <w:pPr>
      <w:spacing w:before="80" w:after="60"/>
    </w:pPr>
    <w:rPr>
      <w:rFonts w:ascii="Arial" w:hAnsi="Arial"/>
      <w:sz w:val="24"/>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073DB4"/>
    <w:pPr>
      <w:spacing w:before="120" w:after="200" w:line="300" w:lineRule="atLeast"/>
    </w:pPr>
    <w:rPr>
      <w:rFonts w:ascii="Arial" w:eastAsia="Times" w:hAnsi="Arial"/>
      <w:sz w:val="28"/>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D00BE5"/>
    <w:pPr>
      <w:spacing w:before="80" w:after="60"/>
    </w:pPr>
    <w:rPr>
      <w:rFonts w:ascii="Arial" w:hAnsi="Arial"/>
      <w:b/>
      <w:color w:val="201547"/>
      <w:sz w:val="24"/>
      <w:lang w:eastAsia="en-US"/>
    </w:rPr>
  </w:style>
  <w:style w:type="paragraph" w:customStyle="1" w:styleId="Bulletafternumbers1">
    <w:name w:val="Bullet after numbers 1"/>
    <w:basedOn w:val="Body"/>
    <w:uiPriority w:val="4"/>
    <w:rsid w:val="00F15144"/>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99"/>
    <w:rsid w:val="00D00BE5"/>
    <w:pPr>
      <w:spacing w:before="60" w:after="60" w:line="220" w:lineRule="atLeast"/>
    </w:pPr>
    <w:rPr>
      <w:rFonts w:eastAsia="MS Gothic" w:cs="Arial"/>
      <w:sz w:val="20"/>
      <w:szCs w:val="16"/>
    </w:rPr>
  </w:style>
  <w:style w:type="character" w:customStyle="1" w:styleId="FootnoteTextChar">
    <w:name w:val="Footnote Text Char"/>
    <w:link w:val="FootnoteText"/>
    <w:uiPriority w:val="99"/>
    <w:rsid w:val="00D00BE5"/>
    <w:rPr>
      <w:rFonts w:ascii="Arial" w:eastAsia="MS Gothic" w:hAnsi="Arial" w:cs="Arial"/>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F15144"/>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F15144"/>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Body"/>
    <w:uiPriority w:val="3"/>
    <w:rsid w:val="00F15144"/>
    <w:pPr>
      <w:numPr>
        <w:ilvl w:val="1"/>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C360A6"/>
    <w:rPr>
      <w:rFonts w:ascii="Arial" w:eastAsia="Times" w:hAnsi="Arial"/>
      <w:sz w:val="24"/>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73DB4"/>
    <w:pPr>
      <w:spacing w:after="60" w:line="270" w:lineRule="atLeast"/>
    </w:pPr>
  </w:style>
  <w:style w:type="paragraph" w:customStyle="1" w:styleId="Introtext">
    <w:name w:val="Intro text"/>
    <w:basedOn w:val="Body"/>
    <w:uiPriority w:val="11"/>
    <w:rsid w:val="001C7128"/>
    <w:rPr>
      <w:color w:val="201547"/>
    </w:rPr>
  </w:style>
  <w:style w:type="character" w:customStyle="1" w:styleId="HeaderChar">
    <w:name w:val="Header Char"/>
    <w:basedOn w:val="DefaultParagraphFont"/>
    <w:link w:val="Header"/>
    <w:uiPriority w:val="99"/>
    <w:rsid w:val="00D00BE5"/>
    <w:rPr>
      <w:rFonts w:ascii="Arial" w:hAnsi="Arial" w:cs="Arial"/>
      <w:b/>
      <w:color w:val="201547"/>
      <w:szCs w:val="18"/>
      <w:lang w:eastAsia="en-US"/>
    </w:rPr>
  </w:style>
  <w:style w:type="paragraph" w:customStyle="1" w:styleId="BodyText1">
    <w:name w:val="Body Text1"/>
    <w:qFormat/>
    <w:rsid w:val="009E6793"/>
    <w:pPr>
      <w:spacing w:before="120" w:after="120"/>
    </w:pPr>
    <w:rPr>
      <w:rFonts w:ascii="Univers 45 Light" w:eastAsiaTheme="minorHAnsi" w:hAnsi="Univers 45 Light" w:cstheme="minorBidi"/>
      <w:szCs w:val="22"/>
      <w:lang w:eastAsia="en-US"/>
    </w:rPr>
  </w:style>
  <w:style w:type="character" w:customStyle="1" w:styleId="FooterChar">
    <w:name w:val="Footer Char"/>
    <w:basedOn w:val="DefaultParagraphFont"/>
    <w:link w:val="Footer"/>
    <w:uiPriority w:val="99"/>
    <w:rsid w:val="009E6793"/>
    <w:rPr>
      <w:rFonts w:ascii="Arial" w:hAnsi="Arial" w:cs="Arial"/>
      <w:sz w:val="18"/>
      <w:szCs w:val="18"/>
      <w:lang w:eastAsia="en-US"/>
    </w:rPr>
  </w:style>
  <w:style w:type="paragraph" w:styleId="ListParagraph">
    <w:name w:val="List Paragraph"/>
    <w:basedOn w:val="Normal"/>
    <w:uiPriority w:val="34"/>
    <w:qFormat/>
    <w:rsid w:val="009E6793"/>
    <w:pPr>
      <w:spacing w:after="160" w:line="259" w:lineRule="auto"/>
      <w:ind w:left="720"/>
      <w:contextualSpacing/>
    </w:pPr>
    <w:rPr>
      <w:rFonts w:asciiTheme="minorHAnsi" w:eastAsiaTheme="minorHAnsi" w:hAnsiTheme="minorHAnsi" w:cstheme="minorBidi"/>
      <w:sz w:val="22"/>
      <w:szCs w:val="22"/>
    </w:rPr>
  </w:style>
  <w:style w:type="paragraph" w:customStyle="1" w:styleId="paragraph">
    <w:name w:val="paragraph"/>
    <w:basedOn w:val="Normal"/>
    <w:rsid w:val="009E6793"/>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9E6793"/>
  </w:style>
  <w:style w:type="paragraph" w:customStyle="1" w:styleId="Default">
    <w:name w:val="Default"/>
    <w:rsid w:val="009E6793"/>
    <w:pPr>
      <w:autoSpaceDE w:val="0"/>
      <w:autoSpaceDN w:val="0"/>
      <w:adjustRightInd w:val="0"/>
    </w:pPr>
    <w:rPr>
      <w:rFonts w:ascii="Gotham Light" w:eastAsiaTheme="minorHAnsi" w:hAnsi="Gotham Light" w:cs="Gotham Light"/>
      <w:color w:val="000000"/>
      <w:sz w:val="24"/>
      <w:szCs w:val="24"/>
      <w:lang w:eastAsia="en-US"/>
    </w:rPr>
  </w:style>
  <w:style w:type="paragraph" w:customStyle="1" w:styleId="Pa1">
    <w:name w:val="Pa1"/>
    <w:basedOn w:val="Default"/>
    <w:next w:val="Default"/>
    <w:uiPriority w:val="99"/>
    <w:rsid w:val="009E6793"/>
    <w:pPr>
      <w:spacing w:line="191" w:lineRule="atLeast"/>
    </w:pPr>
    <w:rPr>
      <w:rFonts w:cstheme="minorBidi"/>
      <w:color w:val="auto"/>
    </w:rPr>
  </w:style>
  <w:style w:type="paragraph" w:styleId="NormalWeb">
    <w:name w:val="Normal (Web)"/>
    <w:basedOn w:val="Normal"/>
    <w:uiPriority w:val="99"/>
    <w:unhideWhenUsed/>
    <w:rsid w:val="009E6793"/>
    <w:pPr>
      <w:spacing w:before="100" w:beforeAutospacing="1" w:after="100" w:afterAutospacing="1" w:line="240" w:lineRule="auto"/>
    </w:pPr>
    <w:rPr>
      <w:rFonts w:ascii="Times New Roman" w:hAnsi="Times New Roman"/>
      <w:sz w:val="24"/>
      <w:szCs w:val="24"/>
      <w:lang w:eastAsia="en-AU"/>
    </w:rPr>
  </w:style>
  <w:style w:type="character" w:customStyle="1" w:styleId="eop">
    <w:name w:val="eop"/>
    <w:basedOn w:val="DefaultParagraphFont"/>
    <w:rsid w:val="009E6793"/>
  </w:style>
  <w:style w:type="character" w:customStyle="1" w:styleId="superscript">
    <w:name w:val="superscript"/>
    <w:basedOn w:val="DefaultParagraphFont"/>
    <w:rsid w:val="009E6793"/>
  </w:style>
  <w:style w:type="paragraph" w:customStyle="1" w:styleId="Heading1numbered">
    <w:name w:val="Heading 1 numbered"/>
    <w:basedOn w:val="Heading1"/>
    <w:next w:val="NormalIndent"/>
    <w:uiPriority w:val="8"/>
    <w:qFormat/>
    <w:rsid w:val="009E6793"/>
    <w:pPr>
      <w:numPr>
        <w:ilvl w:val="2"/>
        <w:numId w:val="7"/>
      </w:numPr>
      <w:tabs>
        <w:tab w:val="clear" w:pos="574"/>
        <w:tab w:val="num" w:pos="360"/>
      </w:tabs>
      <w:spacing w:before="600" w:line="264" w:lineRule="auto"/>
      <w:ind w:left="0" w:firstLine="0"/>
    </w:pPr>
    <w:rPr>
      <w:rFonts w:asciiTheme="majorHAnsi" w:eastAsiaTheme="majorEastAsia" w:hAnsiTheme="majorHAnsi" w:cstheme="majorBidi"/>
      <w:b/>
      <w:spacing w:val="-1"/>
      <w:kern w:val="0"/>
      <w:sz w:val="36"/>
      <w:szCs w:val="28"/>
      <w:lang w:eastAsia="en-AU"/>
    </w:rPr>
  </w:style>
  <w:style w:type="paragraph" w:customStyle="1" w:styleId="Heading2numbered">
    <w:name w:val="Heading 2 numbered"/>
    <w:basedOn w:val="Heading2"/>
    <w:next w:val="NormalIndent"/>
    <w:uiPriority w:val="8"/>
    <w:qFormat/>
    <w:rsid w:val="009E6793"/>
    <w:pPr>
      <w:numPr>
        <w:ilvl w:val="3"/>
        <w:numId w:val="7"/>
      </w:numPr>
      <w:spacing w:before="280" w:after="240" w:line="264" w:lineRule="auto"/>
    </w:pPr>
    <w:rPr>
      <w:rFonts w:asciiTheme="majorHAnsi" w:eastAsiaTheme="majorEastAsia" w:hAnsiTheme="majorHAnsi" w:cstheme="majorBidi"/>
      <w:bCs/>
      <w:color w:val="4F81BD" w:themeColor="accent1"/>
      <w:spacing w:val="2"/>
      <w:sz w:val="28"/>
      <w:szCs w:val="26"/>
      <w:lang w:eastAsia="en-AU"/>
    </w:rPr>
  </w:style>
  <w:style w:type="paragraph" w:customStyle="1" w:styleId="Heading3numbered">
    <w:name w:val="Heading 3 numbered"/>
    <w:basedOn w:val="Heading3"/>
    <w:next w:val="NormalIndent"/>
    <w:uiPriority w:val="8"/>
    <w:qFormat/>
    <w:rsid w:val="009E6793"/>
    <w:pPr>
      <w:numPr>
        <w:ilvl w:val="4"/>
        <w:numId w:val="7"/>
      </w:numPr>
      <w:spacing w:before="240" w:line="264" w:lineRule="auto"/>
    </w:pPr>
    <w:rPr>
      <w:rFonts w:asciiTheme="majorHAnsi" w:eastAsiaTheme="majorEastAsia" w:hAnsiTheme="majorHAnsi" w:cstheme="majorBidi"/>
      <w:b/>
      <w:color w:val="4F81BD" w:themeColor="accent1"/>
      <w:spacing w:val="2"/>
      <w:sz w:val="22"/>
      <w:szCs w:val="22"/>
      <w:lang w:eastAsia="en-AU"/>
    </w:rPr>
  </w:style>
  <w:style w:type="paragraph" w:customStyle="1" w:styleId="Heading4numbered">
    <w:name w:val="Heading 4 numbered"/>
    <w:basedOn w:val="Heading4"/>
    <w:next w:val="NormalIndent"/>
    <w:uiPriority w:val="8"/>
    <w:qFormat/>
    <w:rsid w:val="009E6793"/>
    <w:pPr>
      <w:numPr>
        <w:ilvl w:val="5"/>
        <w:numId w:val="7"/>
      </w:numPr>
      <w:tabs>
        <w:tab w:val="clear" w:pos="574"/>
        <w:tab w:val="num" w:pos="360"/>
      </w:tabs>
      <w:spacing w:before="200" w:after="0" w:line="264" w:lineRule="auto"/>
      <w:ind w:left="0" w:firstLine="0"/>
    </w:pPr>
    <w:rPr>
      <w:rFonts w:asciiTheme="majorHAnsi" w:eastAsiaTheme="majorEastAsia" w:hAnsiTheme="majorHAnsi" w:cstheme="majorBidi"/>
      <w:iCs/>
      <w:color w:val="53565A"/>
      <w:spacing w:val="2"/>
      <w:sz w:val="20"/>
      <w:szCs w:val="20"/>
      <w:lang w:eastAsia="en-AU"/>
    </w:rPr>
  </w:style>
  <w:style w:type="paragraph" w:customStyle="1" w:styleId="Listnumindent2">
    <w:name w:val="List num indent 2"/>
    <w:basedOn w:val="Normal"/>
    <w:uiPriority w:val="9"/>
    <w:qFormat/>
    <w:rsid w:val="009E6793"/>
    <w:pPr>
      <w:numPr>
        <w:ilvl w:val="7"/>
        <w:numId w:val="7"/>
      </w:numPr>
      <w:spacing w:before="100" w:after="100" w:line="264" w:lineRule="auto"/>
      <w:contextualSpacing/>
    </w:pPr>
    <w:rPr>
      <w:rFonts w:asciiTheme="minorHAnsi" w:eastAsiaTheme="minorEastAsia" w:hAnsiTheme="minorHAnsi" w:cstheme="minorBidi"/>
      <w:spacing w:val="2"/>
      <w:sz w:val="20"/>
      <w:lang w:eastAsia="en-AU"/>
    </w:rPr>
  </w:style>
  <w:style w:type="paragraph" w:customStyle="1" w:styleId="Listnumindent">
    <w:name w:val="List num indent"/>
    <w:basedOn w:val="Normal"/>
    <w:uiPriority w:val="9"/>
    <w:qFormat/>
    <w:rsid w:val="009E6793"/>
    <w:pPr>
      <w:numPr>
        <w:ilvl w:val="6"/>
        <w:numId w:val="7"/>
      </w:numPr>
      <w:spacing w:before="100" w:after="100" w:line="264" w:lineRule="auto"/>
    </w:pPr>
    <w:rPr>
      <w:rFonts w:asciiTheme="minorHAnsi" w:eastAsiaTheme="minorEastAsia" w:hAnsiTheme="minorHAnsi" w:cstheme="minorBidi"/>
      <w:spacing w:val="2"/>
      <w:sz w:val="20"/>
      <w:lang w:eastAsia="en-AU"/>
    </w:rPr>
  </w:style>
  <w:style w:type="paragraph" w:customStyle="1" w:styleId="Listnum">
    <w:name w:val="List num"/>
    <w:basedOn w:val="Normal"/>
    <w:uiPriority w:val="1"/>
    <w:qFormat/>
    <w:rsid w:val="009E6793"/>
    <w:pPr>
      <w:numPr>
        <w:numId w:val="7"/>
      </w:numPr>
      <w:spacing w:before="160" w:after="100" w:line="264" w:lineRule="auto"/>
    </w:pPr>
    <w:rPr>
      <w:rFonts w:asciiTheme="minorHAnsi" w:eastAsiaTheme="minorEastAsia" w:hAnsiTheme="minorHAnsi" w:cstheme="minorBidi"/>
      <w:spacing w:val="2"/>
      <w:sz w:val="20"/>
      <w:lang w:eastAsia="en-AU"/>
    </w:rPr>
  </w:style>
  <w:style w:type="paragraph" w:customStyle="1" w:styleId="Listnum2">
    <w:name w:val="List num 2"/>
    <w:basedOn w:val="Normal"/>
    <w:uiPriority w:val="1"/>
    <w:qFormat/>
    <w:rsid w:val="009E6793"/>
    <w:pPr>
      <w:numPr>
        <w:ilvl w:val="1"/>
        <w:numId w:val="7"/>
      </w:numPr>
      <w:spacing w:before="160" w:after="100" w:line="264" w:lineRule="auto"/>
    </w:pPr>
    <w:rPr>
      <w:rFonts w:asciiTheme="minorHAnsi" w:eastAsiaTheme="minorEastAsia" w:hAnsiTheme="minorHAnsi" w:cstheme="minorBidi"/>
      <w:spacing w:val="2"/>
      <w:sz w:val="20"/>
      <w:lang w:eastAsia="en-AU"/>
    </w:rPr>
  </w:style>
  <w:style w:type="paragraph" w:customStyle="1" w:styleId="Numparaindent">
    <w:name w:val="Num para indent"/>
    <w:basedOn w:val="Normal"/>
    <w:uiPriority w:val="9"/>
    <w:qFormat/>
    <w:rsid w:val="009E6793"/>
    <w:pPr>
      <w:numPr>
        <w:ilvl w:val="8"/>
        <w:numId w:val="7"/>
      </w:numPr>
      <w:spacing w:before="160" w:after="100" w:line="264" w:lineRule="auto"/>
      <w:contextualSpacing/>
    </w:pPr>
    <w:rPr>
      <w:rFonts w:asciiTheme="minorHAnsi" w:eastAsiaTheme="minorEastAsia" w:hAnsiTheme="minorHAnsi" w:cstheme="minorBidi"/>
      <w:spacing w:val="2"/>
      <w:sz w:val="20"/>
      <w:lang w:eastAsia="en-AU"/>
    </w:rPr>
  </w:style>
  <w:style w:type="paragraph" w:styleId="NormalIndent">
    <w:name w:val="Normal Indent"/>
    <w:basedOn w:val="Normal"/>
    <w:uiPriority w:val="99"/>
    <w:semiHidden/>
    <w:unhideWhenUsed/>
    <w:rsid w:val="009E6793"/>
    <w:pPr>
      <w:spacing w:after="160" w:line="259" w:lineRule="auto"/>
      <w:ind w:left="720"/>
    </w:pPr>
    <w:rPr>
      <w:rFonts w:asciiTheme="minorHAnsi" w:eastAsiaTheme="minorHAnsi" w:hAnsiTheme="minorHAnsi" w:cstheme="minorBidi"/>
      <w:sz w:val="22"/>
      <w:szCs w:val="22"/>
    </w:rPr>
  </w:style>
  <w:style w:type="paragraph" w:styleId="NoSpacing">
    <w:name w:val="No Spacing"/>
    <w:link w:val="NoSpacingChar"/>
    <w:uiPriority w:val="1"/>
    <w:qFormat/>
    <w:rsid w:val="009E6793"/>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E6793"/>
    <w:rPr>
      <w:rFonts w:asciiTheme="minorHAnsi" w:eastAsiaTheme="minorEastAsia" w:hAnsiTheme="minorHAnsi" w:cstheme="minorBidi"/>
      <w:sz w:val="22"/>
      <w:szCs w:val="22"/>
      <w:lang w:val="en-US" w:eastAsia="en-US"/>
    </w:rPr>
  </w:style>
  <w:style w:type="paragraph" w:customStyle="1" w:styleId="xmsonormal">
    <w:name w:val="x_msonormal"/>
    <w:basedOn w:val="Normal"/>
    <w:rsid w:val="009E6793"/>
    <w:pPr>
      <w:spacing w:before="100" w:beforeAutospacing="1" w:after="100" w:afterAutospacing="1" w:line="240" w:lineRule="auto"/>
    </w:pPr>
    <w:rPr>
      <w:rFonts w:ascii="Calibri" w:eastAsiaTheme="minorHAnsi" w:hAnsi="Calibri"/>
      <w:sz w:val="22"/>
      <w:szCs w:val="22"/>
      <w:lang w:eastAsia="en-AU"/>
    </w:rPr>
  </w:style>
  <w:style w:type="character" w:customStyle="1" w:styleId="life">
    <w:name w:val="life"/>
    <w:basedOn w:val="DefaultParagraphFont"/>
    <w:rsid w:val="009E6793"/>
  </w:style>
  <w:style w:type="character" w:styleId="Emphasis">
    <w:name w:val="Emphasis"/>
    <w:basedOn w:val="DefaultParagraphFont"/>
    <w:uiPriority w:val="20"/>
    <w:qFormat/>
    <w:rsid w:val="009E6793"/>
    <w:rPr>
      <w:i/>
      <w:iCs/>
    </w:rPr>
  </w:style>
  <w:style w:type="character" w:customStyle="1" w:styleId="contextualspellingandgrammarerror">
    <w:name w:val="contextualspellingandgrammarerror"/>
    <w:basedOn w:val="DefaultParagraphFont"/>
    <w:rsid w:val="009E6793"/>
  </w:style>
  <w:style w:type="paragraph" w:customStyle="1" w:styleId="Sectionbreakfirstpage">
    <w:name w:val="Section break first page"/>
    <w:basedOn w:val="Normal"/>
    <w:uiPriority w:val="5"/>
    <w:rsid w:val="009E6793"/>
    <w:pPr>
      <w:spacing w:after="0" w:line="240" w:lineRule="auto"/>
    </w:pPr>
    <w:rPr>
      <w:rFonts w:eastAsia="Times"/>
      <w:noProof/>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3497455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42154206">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reativecommons.org/licenses/by/4.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niorsprojects@dffh.vic.gov.au" TargetMode="External"/><Relationship Id="rId5" Type="http://schemas.openxmlformats.org/officeDocument/2006/relationships/numbering" Target="numbering.xml"/><Relationship Id="rId15" Type="http://schemas.openxmlformats.org/officeDocument/2006/relationships/hyperlink" Target="http://www.seniorsonline.vic.gov.au/ageing-well-action-pla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dc74ea8-e552-4672-9e93-7e886a7af21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27394C74C2D4C4BBF09EB3DFA32E73A" ma:contentTypeVersion="17" ma:contentTypeDescription="Create a new document." ma:contentTypeScope="" ma:versionID="002ba7401c7d1bc0cfbc9905ec51673a">
  <xsd:schema xmlns:xsd="http://www.w3.org/2001/XMLSchema" xmlns:xs="http://www.w3.org/2001/XMLSchema" xmlns:p="http://schemas.microsoft.com/office/2006/metadata/properties" xmlns:ns2="5dc74ea8-e552-4672-9e93-7e886a7af213" xmlns:ns3="c520fbed-e792-47a6-88e7-e35740b06176" xmlns:ns4="5ce0f2b5-5be5-4508-bce9-d7011ece0659" targetNamespace="http://schemas.microsoft.com/office/2006/metadata/properties" ma:root="true" ma:fieldsID="fc216fe2767d8779a4ae60bb217a3d60" ns2:_="" ns3:_="" ns4:_="">
    <xsd:import namespace="5dc74ea8-e552-4672-9e93-7e886a7af213"/>
    <xsd:import namespace="c520fbed-e792-47a6-88e7-e35740b06176"/>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74ea8-e552-4672-9e93-7e886a7af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20fbed-e792-47a6-88e7-e35740b06176" elementFormDefault="qualified">
    <xsd:import namespace="http://schemas.microsoft.com/office/2006/documentManagement/types"/>
    <xsd:import namespace="http://schemas.microsoft.com/office/infopath/2007/PartnerControls"/>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cc1dcc1-06cc-49a4-8523-0bd42a809e0f}" ma:internalName="TaxCatchAll" ma:showField="CatchAllData" ma:web="c520fbed-e792-47a6-88e7-e35740b06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5dc74ea8-e552-4672-9e93-7e886a7af213"/>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381CA163-28EE-4EC2-9839-0F8013E68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74ea8-e552-4672-9e93-7e886a7af213"/>
    <ds:schemaRef ds:uri="c520fbed-e792-47a6-88e7-e35740b06176"/>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6810</Words>
  <Characters>38819</Characters>
  <Application>Microsoft Office Word</Application>
  <DocSecurity>0</DocSecurity>
  <Lines>323</Lines>
  <Paragraphs>91</Paragraphs>
  <ScaleCrop>false</ScaleCrop>
  <Company>Victoria State Government, Department of Families, Fairness and Housing</Company>
  <LinksUpToDate>false</LinksUpToDate>
  <CharactersWithSpaces>45538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Ageing well in Victoria: an action plan for strengthening wellbeing for senior Victorians (accessible)</dc:title>
  <dc:subject>Ageing well in Victoria</dc:subject>
  <dc:creator>Fairer Victoria</dc:creator>
  <cp:keywords>Ageing, Victoria, seniors, accessible</cp:keywords>
  <cp:lastModifiedBy>Rhiannon Wapling (DFFH)</cp:lastModifiedBy>
  <cp:revision>3</cp:revision>
  <cp:lastPrinted>2021-01-29T05:27:00Z</cp:lastPrinted>
  <dcterms:created xsi:type="dcterms:W3CDTF">2022-06-27T08:23:00Z</dcterms:created>
  <dcterms:modified xsi:type="dcterms:W3CDTF">2022-06-27T08:24:00Z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0x010100027394C74C2D4C4BBF09EB3DFA32E73A</vt:lpwstr>
  </property>
  <property fmtid="{D5CDD505-2E9C-101B-9397-08002B2CF9AE}" pid="4" name="version">
    <vt:lpwstr>2022v1 15032022</vt:lpwstr>
  </property>
  <property fmtid="{D5CDD505-2E9C-101B-9397-08002B2CF9AE}" pid="5" name="MSIP_Label_efdf5488-3066-4b6c-8fea-9472b8a1f34c_Enabled">
    <vt:lpwstr>true</vt:lpwstr>
  </property>
  <property fmtid="{D5CDD505-2E9C-101B-9397-08002B2CF9AE}" pid="6" name="MSIP_Label_efdf5488-3066-4b6c-8fea-9472b8a1f34c_SetDate">
    <vt:lpwstr>2022-06-22T23:21:56Z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3cc7277c-3490-49ec-9d07-f82a6ab579a9</vt:lpwstr>
  </property>
  <property fmtid="{D5CDD505-2E9C-101B-9397-08002B2CF9AE}" pid="11" name="MSIP_Label_efdf5488-3066-4b6c-8fea-9472b8a1f34c_ContentBits">
    <vt:lpwstr>0</vt:lpwstr>
  </property>
  <property fmtid="{D5CDD505-2E9C-101B-9397-08002B2CF9AE}" pid="12" name="MediaServiceImageTags">
    <vt:lpwstr/>
  </property>
</Properties>
</file>